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pPr>
      <w:r>
        <w:rPr>
          <w:rFonts w:ascii="Arial" w:cs="Arial" w:eastAsia="Arial" w:hAnsi="Arial"/>
        </w:rPr>
        <w:t xml:space="preserve"/>
      </w:r>
    </w:p>
    <w:p>
      <w:pPr>
        <w:jc w:val="center"/>
      </w:pPr>
      <w:r>
        <w:rPr>
          <w:rFonts w:ascii="Arial" w:cs="Arial" w:eastAsia="Arial" w:hAnsi="Arial"/>
          <w:b/>
          <w:bCs/>
          <w:caps/>
          <w:color w:val="1B3A6B"/>
          <w:sz w:val="52"/>
          <w:szCs w:val="52"/>
        </w:rPr>
        <w:t xml:space="preserve">CULTURAL INTELLIGENCE</w:t>
      </w:r>
    </w:p>
    <w:p>
      <w:pPr>
        <w:spacing w:after="320" w:before="160"/>
        <w:jc w:val="center"/>
      </w:pPr>
      <w:r>
        <w:rPr>
          <w:rFonts w:ascii="Arial" w:cs="Arial" w:eastAsia="Arial" w:hAnsi="Arial"/>
          <w:i/>
          <w:iCs/>
          <w:color w:val="C49A2C"/>
          <w:sz w:val="32"/>
          <w:szCs w:val="32"/>
        </w:rPr>
        <w:t xml:space="preserve">A New Framework for the Modern Enterprise</w:t>
      </w:r>
    </w:p>
    <w:p>
      <w:pPr>
        <w:jc w:val="center"/>
      </w:pPr>
      <w:r>
        <w:rPr>
          <w:rFonts w:ascii="Arial" w:cs="Arial" w:eastAsia="Arial" w:hAnsi="Arial"/>
          <w:bdr/>
        </w:rPr>
        <w:t xml:space="preserve"/>
      </w:r>
    </w:p>
    <w:p>
      <w:pPr>
        <w:spacing w:after="400" w:before="0"/>
      </w:pPr>
      <w:r>
        <w:rPr>
          <w:rFonts w:ascii="Arial" w:cs="Arial" w:eastAsia="Arial" w:hAnsi="Arial"/>
        </w:rPr>
        <w:t xml:space="preserve"/>
      </w:r>
    </w:p>
    <w:p>
      <w:pPr>
        <w:spacing w:after="600" w:before="0"/>
        <w:jc w:val="center"/>
      </w:pPr>
      <w:r>
        <w:rPr>
          <w:rFonts w:ascii="Arial" w:cs="Arial" w:eastAsia="Arial" w:hAnsi="Arial"/>
          <w:i/>
          <w:iCs/>
          <w:color w:val="666666"/>
          <w:sz w:val="24"/>
          <w:szCs w:val="24"/>
        </w:rPr>
        <w:t xml:space="preserve">Synthesising five decades of culture research into four clear dimensions</w:t>
      </w:r>
    </w:p>
    <w:p>
      <w:pPr>
        <w:spacing w:after="1800" w:before="0"/>
      </w:pPr>
      <w:r>
        <w:rPr>
          <w:rFonts w:ascii="Arial" w:cs="Arial" w:eastAsia="Arial" w:hAnsi="Arial"/>
        </w:rPr>
        <w:t xml:space="preserve"/>
      </w:r>
    </w:p>
    <w:p>
      <w:pPr>
        <w:jc w:val="center"/>
      </w:pPr>
      <w:r>
        <w:rPr>
          <w:rFonts w:ascii="Arial" w:cs="Arial" w:eastAsia="Arial" w:hAnsi="Arial"/>
          <w:b/>
          <w:bCs/>
          <w:caps/>
          <w:color w:val="D9E2EC"/>
          <w:sz w:val="18"/>
          <w:szCs w:val="18"/>
        </w:rPr>
        <w:t xml:space="preserve">CONFIDENTIAL</w:t>
      </w:r>
    </w:p>
    <w:p>
      <w:pPr>
        <w:jc w:val="center"/>
      </w:pPr>
      <w:r>
        <w:rPr>
          <w:rFonts w:ascii="Arial" w:cs="Arial" w:eastAsia="Arial" w:hAnsi="Arial"/>
          <w:color w:val="D9E2EC"/>
          <w:sz w:val="18"/>
          <w:szCs w:val="18"/>
        </w:rPr>
        <w:t xml:space="preserve">Prepared exclusively for client review</w:t>
      </w:r>
    </w:p>
    <w:p>
      <w:pPr>
        <w:jc w:val="center"/>
      </w:pPr>
      <w:r>
        <w:rPr>
          <w:rFonts w:ascii="Arial" w:cs="Arial" w:eastAsia="Arial" w:hAnsi="Arial"/>
          <w:color w:val="D9E2EC"/>
          <w:sz w:val="18"/>
          <w:szCs w:val="18"/>
        </w:rPr>
        <w:t xml:space="preserve">2025</w:t>
      </w:r>
    </w:p>
    <w:p>
      <w:r>
        <w:br w:type="page"/>
      </w:r>
    </w:p>
    <w:p>
      <w:pPr>
        <w:spacing w:after="80" w:before="360"/>
      </w:pPr>
      <w:r>
        <w:rPr>
          <w:rFonts w:ascii="Arial" w:cs="Arial" w:eastAsia="Arial" w:hAnsi="Arial"/>
          <w:b/>
          <w:bCs/>
          <w:caps/>
          <w:color w:val="C49A2C"/>
          <w:sz w:val="22"/>
          <w:szCs w:val="22"/>
        </w:rPr>
        <w:t xml:space="preserve">01  </w:t>
      </w:r>
      <w:r>
        <w:rPr>
          <w:rFonts w:ascii="Arial" w:cs="Arial" w:eastAsia="Arial" w:hAnsi="Arial"/>
          <w:b/>
          <w:bCs/>
          <w:color w:val="1B3A6B"/>
          <w:sz w:val="26"/>
          <w:szCs w:val="26"/>
        </w:rPr>
        <w:t xml:space="preserve">The Challenge We Are Solving</w:t>
      </w:r>
    </w:p>
    <w:p>
      <w:pPr>
        <w:pBdr>
          <w:bottom w:val="single" w:color="C49A2C" w:sz="16" w:space="0"/>
        </w:pBdr>
        <w:spacing w:after="160" w:before="0"/>
      </w:pPr>
    </w:p>
    <w:p>
      <w:pPr>
        <w:spacing w:after="160" w:before="0"/>
      </w:pPr>
      <w:r>
        <w:rPr>
          <w:rFonts w:ascii="Arial" w:cs="Arial" w:eastAsia="Arial" w:hAnsi="Arial"/>
          <w:color w:val="1A1A1A"/>
          <w:sz w:val="22"/>
          <w:szCs w:val="22"/>
        </w:rPr>
        <w:t xml:space="preserve">Your organisation operates across cultures every day — in the teams you build, the clients you serve, the markets you enter, and the leaders you develop. Culture shapes how people make decisions, how they build trust, what motivates them, and how they respond to change.</w:t>
      </w:r>
    </w:p>
    <w:p>
      <w:pPr>
        <w:spacing w:after="160" w:before="0"/>
      </w:pPr>
      <w:r>
        <w:rPr>
          <w:rFonts w:ascii="Arial" w:cs="Arial" w:eastAsia="Arial" w:hAnsi="Arial"/>
          <w:color w:val="1A1A1A"/>
          <w:sz w:val="22"/>
          <w:szCs w:val="22"/>
        </w:rPr>
        <w:t xml:space="preserve">The problem is not a shortage of research. Fifty years of rigorous scholarship has produced some of the most robust cross-cultural data ever collected. The problem is that this research lives across five separate frameworks — each with its own language, its own dimensions, and its own blind spots. A practitioner trying to use all five faces over thirty dimensions, overlapping concepts, and occasionally contradictory findings.</w:t>
      </w:r>
    </w:p>
    <w:p>
      <w:pPr>
        <w:spacing w:after="160" w:before="0"/>
      </w:pPr>
      <w:r>
        <w:rPr>
          <w:rFonts w:ascii="Arial" w:cs="Arial" w:eastAsia="Arial" w:hAnsi="Arial"/>
          <w:color w:val="1A1A1A"/>
          <w:sz w:val="22"/>
          <w:szCs w:val="22"/>
        </w:rPr>
        <w:t xml:space="preserve">In practice, most organisations pick one framework and hope it is enough. It rarely is.</w:t>
      </w:r>
    </w:p>
    <w:p>
      <w:pPr>
        <w:spacing w:after="120" w:before="0"/>
      </w:pPr>
      <w:r>
        <w:rPr>
          <w:rFonts w:ascii="Arial" w:cs="Arial" w:eastAsia="Arial" w:hAnsi="Arial"/>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EBF1F8" w:val="clear"/>
            <w:tcMar>
              <w:top w:type="dxa" w:w="60"/>
              <w:left w:type="dxa" w:w="180"/>
              <w:bottom w:type="dxa" w:w="60"/>
              <w:right w:type="dxa" w:w="60"/>
            </w:tcMar>
          </w:tcPr>
          <w:p>
            <w:r>
              <w:rPr>
                <w:rFonts w:ascii="Arial" w:cs="Arial" w:eastAsia="Arial" w:hAnsi="Arial"/>
                <w:b/>
                <w:bCs/>
                <w:color w:val="1B3A6B"/>
                <w:sz w:val="21"/>
                <w:szCs w:val="21"/>
              </w:rPr>
              <w:t xml:space="preserve">Hofstede</w:t>
            </w:r>
          </w:p>
        </w:tc>
        <w:tc>
          <w:tcPr>
            <w:tcW w:type="dxa" w:w="7760"/>
            <w:tcBorders>
              <w:top w:val="none" w:color="FFFFFF" w:sz="0"/>
              <w:left w:val="none" w:color="FFFFFF" w:sz="0"/>
              <w:bottom w:val="none" w:color="FFFFFF" w:sz="0"/>
              <w:right w:val="none" w:color="FFFFFF" w:sz="0"/>
            </w:tcBorders>
            <w:shd w:fill="EBF1F8" w:val="clear"/>
            <w:tcMar>
              <w:top w:type="dxa" w:w="60"/>
              <w:left w:type="dxa" w:w="60"/>
              <w:bottom w:type="dxa" w:w="60"/>
              <w:right w:type="dxa" w:w="180"/>
            </w:tcMar>
          </w:tcPr>
          <w:p>
            <w:r>
              <w:rPr>
                <w:rFonts w:ascii="Arial" w:cs="Arial" w:eastAsia="Arial" w:hAnsi="Arial"/>
                <w:color w:val="1A1A1A"/>
                <w:sz w:val="21"/>
                <w:szCs w:val="21"/>
              </w:rPr>
              <w:t xml:space="preserve">6 dimensions — the most cited, but built on 1960s data from a single company</w:t>
            </w:r>
          </w:p>
        </w:tc>
      </w:tr>
      <w:tr>
        <w:tc>
          <w:tcPr>
            <w:tcW w:type="dxa" w:w="1600"/>
            <w:tcBorders>
              <w:top w:val="none" w:color="FFFFFF" w:sz="0"/>
              <w:left w:val="none" w:color="FFFFFF" w:sz="0"/>
              <w:bottom w:val="none" w:color="FFFFFF" w:sz="0"/>
              <w:right w:val="none" w:color="FFFFFF" w:sz="0"/>
            </w:tcBorders>
            <w:shd w:fill="EBF1F8" w:val="clear"/>
            <w:tcMar>
              <w:top w:type="dxa" w:w="60"/>
              <w:left w:type="dxa" w:w="180"/>
              <w:bottom w:type="dxa" w:w="60"/>
              <w:right w:type="dxa" w:w="60"/>
            </w:tcMar>
          </w:tcPr>
          <w:p>
            <w:r>
              <w:rPr>
                <w:rFonts w:ascii="Arial" w:cs="Arial" w:eastAsia="Arial" w:hAnsi="Arial"/>
                <w:b/>
                <w:bCs/>
                <w:color w:val="1B3A6B"/>
                <w:sz w:val="21"/>
                <w:szCs w:val="21"/>
              </w:rPr>
              <w:t xml:space="preserve">GLOBE</w:t>
            </w:r>
          </w:p>
        </w:tc>
        <w:tc>
          <w:tcPr>
            <w:tcW w:type="dxa" w:w="7760"/>
            <w:tcBorders>
              <w:top w:val="none" w:color="FFFFFF" w:sz="0"/>
              <w:left w:val="none" w:color="FFFFFF" w:sz="0"/>
              <w:bottom w:val="none" w:color="FFFFFF" w:sz="0"/>
              <w:right w:val="none" w:color="FFFFFF" w:sz="0"/>
            </w:tcBorders>
            <w:shd w:fill="EBF1F8" w:val="clear"/>
            <w:tcMar>
              <w:top w:type="dxa" w:w="60"/>
              <w:left w:type="dxa" w:w="60"/>
              <w:bottom w:type="dxa" w:w="60"/>
              <w:right w:type="dxa" w:w="180"/>
            </w:tcMar>
          </w:tcPr>
          <w:p>
            <w:r>
              <w:rPr>
                <w:rFonts w:ascii="Arial" w:cs="Arial" w:eastAsia="Arial" w:hAnsi="Arial"/>
                <w:color w:val="1A1A1A"/>
                <w:sz w:val="21"/>
                <w:szCs w:val="21"/>
              </w:rPr>
              <w:t xml:space="preserve">9 dimensions — rigorous but complex, designed for academic research</w:t>
            </w:r>
          </w:p>
        </w:tc>
      </w:tr>
      <w:tr>
        <w:tc>
          <w:tcPr>
            <w:tcW w:type="dxa" w:w="1600"/>
            <w:tcBorders>
              <w:top w:val="none" w:color="FFFFFF" w:sz="0"/>
              <w:left w:val="none" w:color="FFFFFF" w:sz="0"/>
              <w:bottom w:val="none" w:color="FFFFFF" w:sz="0"/>
              <w:right w:val="none" w:color="FFFFFF" w:sz="0"/>
            </w:tcBorders>
            <w:shd w:fill="EBF1F8" w:val="clear"/>
            <w:tcMar>
              <w:top w:type="dxa" w:w="60"/>
              <w:left w:type="dxa" w:w="180"/>
              <w:bottom w:type="dxa" w:w="60"/>
              <w:right w:type="dxa" w:w="60"/>
            </w:tcMar>
          </w:tcPr>
          <w:p>
            <w:r>
              <w:rPr>
                <w:rFonts w:ascii="Arial" w:cs="Arial" w:eastAsia="Arial" w:hAnsi="Arial"/>
                <w:b/>
                <w:bCs/>
                <w:color w:val="1B3A6B"/>
                <w:sz w:val="21"/>
                <w:szCs w:val="21"/>
              </w:rPr>
              <w:t xml:space="preserve">Schwartz</w:t>
            </w:r>
          </w:p>
        </w:tc>
        <w:tc>
          <w:tcPr>
            <w:tcW w:type="dxa" w:w="7760"/>
            <w:tcBorders>
              <w:top w:val="none" w:color="FFFFFF" w:sz="0"/>
              <w:left w:val="none" w:color="FFFFFF" w:sz="0"/>
              <w:bottom w:val="none" w:color="FFFFFF" w:sz="0"/>
              <w:right w:val="none" w:color="FFFFFF" w:sz="0"/>
            </w:tcBorders>
            <w:shd w:fill="EBF1F8" w:val="clear"/>
            <w:tcMar>
              <w:top w:type="dxa" w:w="60"/>
              <w:left w:type="dxa" w:w="60"/>
              <w:bottom w:type="dxa" w:w="60"/>
              <w:right w:type="dxa" w:w="180"/>
            </w:tcMar>
          </w:tcPr>
          <w:p>
            <w:r>
              <w:rPr>
                <w:rFonts w:ascii="Arial" w:cs="Arial" w:eastAsia="Arial" w:hAnsi="Arial"/>
                <w:color w:val="1A1A1A"/>
                <w:sz w:val="21"/>
                <w:szCs w:val="21"/>
              </w:rPr>
              <w:t xml:space="preserve">7 dimensions — theoretically elegant, limited practitioner adoption</w:t>
            </w:r>
          </w:p>
        </w:tc>
      </w:tr>
      <w:tr>
        <w:tc>
          <w:tcPr>
            <w:tcW w:type="dxa" w:w="1600"/>
            <w:tcBorders>
              <w:top w:val="none" w:color="FFFFFF" w:sz="0"/>
              <w:left w:val="none" w:color="FFFFFF" w:sz="0"/>
              <w:bottom w:val="none" w:color="FFFFFF" w:sz="0"/>
              <w:right w:val="none" w:color="FFFFFF" w:sz="0"/>
            </w:tcBorders>
            <w:shd w:fill="EBF1F8" w:val="clear"/>
            <w:tcMar>
              <w:top w:type="dxa" w:w="60"/>
              <w:left w:type="dxa" w:w="180"/>
              <w:bottom w:type="dxa" w:w="60"/>
              <w:right w:type="dxa" w:w="60"/>
            </w:tcMar>
          </w:tcPr>
          <w:p>
            <w:r>
              <w:rPr>
                <w:rFonts w:ascii="Arial" w:cs="Arial" w:eastAsia="Arial" w:hAnsi="Arial"/>
                <w:b/>
                <w:bCs/>
                <w:color w:val="1B3A6B"/>
                <w:sz w:val="21"/>
                <w:szCs w:val="21"/>
              </w:rPr>
              <w:t xml:space="preserve">WVS</w:t>
            </w:r>
          </w:p>
        </w:tc>
        <w:tc>
          <w:tcPr>
            <w:tcW w:type="dxa" w:w="7760"/>
            <w:tcBorders>
              <w:top w:val="none" w:color="FFFFFF" w:sz="0"/>
              <w:left w:val="none" w:color="FFFFFF" w:sz="0"/>
              <w:bottom w:val="none" w:color="FFFFFF" w:sz="0"/>
              <w:right w:val="none" w:color="FFFFFF" w:sz="0"/>
            </w:tcBorders>
            <w:shd w:fill="EBF1F8" w:val="clear"/>
            <w:tcMar>
              <w:top w:type="dxa" w:w="60"/>
              <w:left w:type="dxa" w:w="60"/>
              <w:bottom w:type="dxa" w:w="60"/>
              <w:right w:type="dxa" w:w="180"/>
            </w:tcMar>
          </w:tcPr>
          <w:p>
            <w:r>
              <w:rPr>
                <w:rFonts w:ascii="Arial" w:cs="Arial" w:eastAsia="Arial" w:hAnsi="Arial"/>
                <w:color w:val="1A1A1A"/>
                <w:sz w:val="21"/>
                <w:szCs w:val="21"/>
              </w:rPr>
              <w:t xml:space="preserve">6 dimensions — the largest dataset, not designed as a business tool</w:t>
            </w:r>
          </w:p>
        </w:tc>
      </w:tr>
      <w:tr>
        <w:tc>
          <w:tcPr>
            <w:tcW w:type="dxa" w:w="1600"/>
            <w:tcBorders>
              <w:top w:val="none" w:color="FFFFFF" w:sz="0"/>
              <w:left w:val="none" w:color="FFFFFF" w:sz="0"/>
              <w:bottom w:val="none" w:color="FFFFFF" w:sz="0"/>
              <w:right w:val="none" w:color="FFFFFF" w:sz="0"/>
            </w:tcBorders>
            <w:shd w:fill="EBF1F8" w:val="clear"/>
            <w:tcMar>
              <w:top w:type="dxa" w:w="60"/>
              <w:left w:type="dxa" w:w="180"/>
              <w:bottom w:type="dxa" w:w="60"/>
              <w:right w:type="dxa" w:w="60"/>
            </w:tcMar>
          </w:tcPr>
          <w:p>
            <w:r>
              <w:rPr>
                <w:rFonts w:ascii="Arial" w:cs="Arial" w:eastAsia="Arial" w:hAnsi="Arial"/>
                <w:b/>
                <w:bCs/>
                <w:color w:val="1B3A6B"/>
                <w:sz w:val="21"/>
                <w:szCs w:val="21"/>
              </w:rPr>
              <w:t xml:space="preserve">Trompenaars</w:t>
            </w:r>
          </w:p>
        </w:tc>
        <w:tc>
          <w:tcPr>
            <w:tcW w:type="dxa" w:w="7760"/>
            <w:tcBorders>
              <w:top w:val="none" w:color="FFFFFF" w:sz="0"/>
              <w:left w:val="none" w:color="FFFFFF" w:sz="0"/>
              <w:bottom w:val="none" w:color="FFFFFF" w:sz="0"/>
              <w:right w:val="none" w:color="FFFFFF" w:sz="0"/>
            </w:tcBorders>
            <w:shd w:fill="EBF1F8" w:val="clear"/>
            <w:tcMar>
              <w:top w:type="dxa" w:w="60"/>
              <w:left w:type="dxa" w:w="60"/>
              <w:bottom w:type="dxa" w:w="60"/>
              <w:right w:type="dxa" w:w="180"/>
            </w:tcMar>
          </w:tcPr>
          <w:p>
            <w:r>
              <w:rPr>
                <w:rFonts w:ascii="Arial" w:cs="Arial" w:eastAsia="Arial" w:hAnsi="Arial"/>
                <w:color w:val="1A1A1A"/>
                <w:sz w:val="21"/>
                <w:szCs w:val="21"/>
              </w:rPr>
              <w:t xml:space="preserve">4 dimensions — business-friendly, narrower empirical base</w:t>
            </w:r>
          </w:p>
        </w:tc>
      </w:tr>
    </w:tbl>
    <w:p>
      <w:pPr>
        <w:spacing w:after="200" w:before="0"/>
      </w:pPr>
      <w:r>
        <w:rPr>
          <w:rFonts w:ascii="Arial" w:cs="Arial" w:eastAsia="Arial" w:hAnsi="Arial"/>
        </w:rPr>
        <w:t xml:space="preserve"/>
      </w:r>
    </w:p>
    <w:p>
      <w:pPr>
        <w:spacing w:after="160" w:before="0"/>
      </w:pPr>
      <w:r>
        <w:rPr>
          <w:rFonts w:ascii="Arial" w:cs="Arial" w:eastAsia="Arial" w:hAnsi="Arial"/>
          <w:color w:val="1A1A1A"/>
          <w:sz w:val="22"/>
          <w:szCs w:val="22"/>
        </w:rPr>
        <w:t xml:space="preserve">We asked a different question: if you look across all five frameworks at once, what does the data actually agree on?</w:t>
      </w:r>
    </w:p>
    <w:p>
      <w:pPr>
        <w:spacing w:after="200" w:before="0"/>
      </w:pPr>
      <w:r>
        <w:rPr>
          <w:rFonts w:ascii="Arial" w:cs="Arial" w:eastAsia="Arial" w:hAnsi="Arial"/>
        </w:rPr>
        <w:t xml:space="preserve"/>
      </w:r>
    </w:p>
    <w:p>
      <w:pPr>
        <w:spacing w:after="80" w:before="360"/>
      </w:pPr>
      <w:r>
        <w:rPr>
          <w:rFonts w:ascii="Arial" w:cs="Arial" w:eastAsia="Arial" w:hAnsi="Arial"/>
          <w:b/>
          <w:bCs/>
          <w:caps/>
          <w:color w:val="C49A2C"/>
          <w:sz w:val="22"/>
          <w:szCs w:val="22"/>
        </w:rPr>
        <w:t xml:space="preserve">02  </w:t>
      </w:r>
      <w:r>
        <w:rPr>
          <w:rFonts w:ascii="Arial" w:cs="Arial" w:eastAsia="Arial" w:hAnsi="Arial"/>
          <w:b/>
          <w:bCs/>
          <w:color w:val="1B3A6B"/>
          <w:sz w:val="26"/>
          <w:szCs w:val="26"/>
        </w:rPr>
        <w:t xml:space="preserve">What We Did</w:t>
      </w:r>
    </w:p>
    <w:p>
      <w:pPr>
        <w:pBdr>
          <w:bottom w:val="single" w:color="C49A2C" w:sz="16" w:space="0"/>
        </w:pBdr>
        <w:spacing w:after="160" w:before="0"/>
      </w:pPr>
    </w:p>
    <w:p>
      <w:pPr>
        <w:spacing w:after="160" w:before="0"/>
      </w:pPr>
      <w:r>
        <w:rPr>
          <w:rFonts w:ascii="Arial" w:cs="Arial" w:eastAsia="Arial" w:hAnsi="Arial"/>
          <w:color w:val="1A1A1A"/>
          <w:sz w:val="22"/>
          <w:szCs w:val="22"/>
        </w:rPr>
        <w:t xml:space="preserve">We took the dimensions from all five frameworks — thirty-four cultural indicators in total — and subjected them to a cross-framework factor analysis. This statistical method identifies which dimensions are measuring the same underlying reality, and which are genuinely distinct.</w:t>
      </w:r>
    </w:p>
    <w:p>
      <w:pPr>
        <w:spacing w:after="160" w:before="0"/>
      </w:pPr>
      <w:r>
        <w:rPr>
          <w:rFonts w:ascii="Arial" w:cs="Arial" w:eastAsia="Arial" w:hAnsi="Arial"/>
          <w:color w:val="1A1A1A"/>
          <w:sz w:val="22"/>
          <w:szCs w:val="22"/>
        </w:rPr>
        <w:t xml:space="preserve">This is a fundamentally different approach to building a cultural framework. Every existing model was constructed top-down: a research team formed a theory, designed measures, and collected data to validate their assumptions. Our model is built bottom-up: we let the data from five independent research traditions find its own structure, then named what emerged.</w:t>
      </w:r>
    </w:p>
    <w:p>
      <w:pPr>
        <w:spacing w:after="160" w:before="0"/>
      </w:pPr>
      <w:r>
        <w:rPr>
          <w:rFonts w:ascii="Arial" w:cs="Arial" w:eastAsia="Arial" w:hAnsi="Arial"/>
          <w:color w:val="1A1A1A"/>
          <w:sz w:val="22"/>
          <w:szCs w:val="22"/>
        </w:rPr>
        <w:t xml:space="preserve">The result is a framework whose dimensions are not hypothesised constructs. They are empirical regularities — patterns that survive across five independent bodies of research, spanning decades and hundreds of thousands of respondents across the globe.</w:t>
      </w:r>
    </w:p>
    <w:p>
      <w:pPr>
        <w:spacing w:after="160" w:before="0"/>
      </w:pPr>
      <w:r>
        <w:rPr>
          <w:rFonts w:ascii="Arial" w:cs="Arial" w:eastAsia="Arial" w:hAnsi="Arial"/>
          <w:color w:val="1A1A1A"/>
          <w:sz w:val="22"/>
          <w:szCs w:val="22"/>
        </w:rPr>
        <w:t xml:space="preserve">The analysis identified four genuine dimensions of cultural difference.</w:t>
      </w:r>
    </w:p>
    <w:p>
      <w:pPr>
        <w:spacing w:after="200" w:before="0"/>
      </w:pPr>
      <w:r>
        <w:rPr>
          <w:rFonts w:ascii="Arial" w:cs="Arial" w:eastAsia="Arial" w:hAnsi="Arial"/>
        </w:rPr>
        <w:t xml:space="preserve"/>
      </w:r>
    </w:p>
    <w:p>
      <w:pPr>
        <w:spacing w:after="80" w:before="360"/>
      </w:pPr>
      <w:r>
        <w:rPr>
          <w:rFonts w:ascii="Arial" w:cs="Arial" w:eastAsia="Arial" w:hAnsi="Arial"/>
          <w:b/>
          <w:bCs/>
          <w:caps/>
          <w:color w:val="C49A2C"/>
          <w:sz w:val="22"/>
          <w:szCs w:val="22"/>
        </w:rPr>
        <w:t xml:space="preserve">03  </w:t>
      </w:r>
      <w:r>
        <w:rPr>
          <w:rFonts w:ascii="Arial" w:cs="Arial" w:eastAsia="Arial" w:hAnsi="Arial"/>
          <w:b/>
          <w:bCs/>
          <w:color w:val="1B3A6B"/>
          <w:sz w:val="26"/>
          <w:szCs w:val="26"/>
        </w:rPr>
        <w:t xml:space="preserve">The Four Dimensions</w:t>
      </w:r>
    </w:p>
    <w:p>
      <w:pPr>
        <w:pBdr>
          <w:bottom w:val="single" w:color="C49A2C" w:sz="16" w:space="0"/>
        </w:pBdr>
        <w:spacing w:after="160" w:before="0"/>
      </w:pPr>
    </w:p>
    <w:p>
      <w:pPr>
        <w:spacing w:after="160" w:before="0"/>
      </w:pPr>
      <w:r>
        <w:rPr>
          <w:rFonts w:ascii="Arial" w:cs="Arial" w:eastAsia="Arial" w:hAnsi="Arial"/>
          <w:color w:val="1A1A1A"/>
          <w:sz w:val="22"/>
          <w:szCs w:val="22"/>
        </w:rPr>
        <w:t xml:space="preserve">Each dimension represents a spectrum. Cultures do not sit at one extreme or the other — they occupy a position along each axis, and that position can be understood, mapped, and worked with.</w:t>
      </w:r>
    </w:p>
    <w:p>
      <w:pPr>
        <w:spacing w:after="100" w:before="0"/>
      </w:pPr>
      <w:r>
        <w:rPr>
          <w:rFonts w:ascii="Arial" w:cs="Arial" w:eastAsia="Arial" w:hAnsi="Arial"/>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28"/>
                <w:szCs w:val="28"/>
              </w:rPr>
              <w:t xml:space="preserve">D1</w:t>
            </w:r>
          </w:p>
          <w:p>
            <w:pPr>
              <w:jc w:val="center"/>
            </w:pPr>
            <w:r>
              <w:rPr>
                <w:rFonts w:ascii="Arial" w:cs="Arial" w:eastAsia="Arial" w:hAnsi="Arial"/>
                <w:b/>
                <w:bCs/>
                <w:color w:val="C49A2C"/>
                <w:sz w:val="18"/>
                <w:szCs w:val="18"/>
              </w:rPr>
              <w:t xml:space="preserve">Identity</w:t>
            </w:r>
          </w:p>
        </w:tc>
        <w:tc>
          <w:tcPr>
            <w:tcW w:type="dxa" w:w="7960"/>
            <w:tcBorders>
              <w:top w:val="none" w:color="FFFFFF" w:sz="0"/>
              <w:left w:val="none" w:color="FFFFFF" w:sz="0"/>
              <w:bottom w:val="none" w:color="FFFFFF" w:sz="0"/>
              <w:right w:val="none" w:color="FFFFFF" w:sz="0"/>
            </w:tcBorders>
            <w:shd w:fill="EBF1F8" w:val="clear"/>
            <w:tcMar>
              <w:top w:type="dxa" w:w="120"/>
              <w:left w:type="dxa" w:w="180"/>
              <w:bottom w:type="dxa" w:w="120"/>
              <w:right w:type="dxa" w:w="160"/>
            </w:tcMar>
          </w:tcPr>
          <w:p>
            <w:pPr>
              <w:spacing w:after="80" w:before="0"/>
            </w:pPr>
            <w:r>
              <w:rPr>
                <w:rFonts w:ascii="Arial" w:cs="Arial" w:eastAsia="Arial" w:hAnsi="Arial"/>
                <w:b/>
                <w:bCs/>
                <w:color w:val="2C5F8A"/>
                <w:sz w:val="22"/>
                <w:szCs w:val="22"/>
              </w:rPr>
              <w:t xml:space="preserve">Self</w:t>
            </w:r>
            <w:r>
              <w:rPr>
                <w:rFonts w:ascii="Arial" w:cs="Arial" w:eastAsia="Arial" w:hAnsi="Arial"/>
                <w:color w:val="666666"/>
                <w:sz w:val="22"/>
                <w:szCs w:val="22"/>
              </w:rPr>
              <w:t xml:space="preserve">  ↔  </w:t>
            </w:r>
            <w:r>
              <w:rPr>
                <w:rFonts w:ascii="Arial" w:cs="Arial" w:eastAsia="Arial" w:hAnsi="Arial"/>
                <w:b/>
                <w:bCs/>
                <w:color w:val="2C5F8A"/>
                <w:sz w:val="22"/>
                <w:szCs w:val="22"/>
              </w:rPr>
              <w:t xml:space="preserve">Social</w:t>
            </w:r>
          </w:p>
          <w:p>
            <w:pPr>
              <w:spacing w:after="0" w:before="0"/>
            </w:pPr>
            <w:r>
              <w:rPr>
                <w:rFonts w:ascii="Arial" w:cs="Arial" w:eastAsia="Arial" w:hAnsi="Arial"/>
                <w:color w:val="1A1A1A"/>
                <w:sz w:val="20"/>
                <w:szCs w:val="20"/>
              </w:rPr>
              <w:t xml:space="preserve">Where does a person's sense of self begin and end? At the Self pole, identity is individual — personal achievement, autonomy, and rights are paramount. At the Social pole, identity is relational — the group, family, or community is the primary unit, and collective wellbeing takes precedence. This is the most powerful and consistent dimension in the entire culture literature.</w:t>
            </w:r>
          </w:p>
        </w:tc>
      </w:tr>
    </w:tbl>
    <w:p>
      <w:pPr>
        <w:spacing w:after="140" w:before="0"/>
      </w:pPr>
      <w:r>
        <w:rPr>
          <w:rFonts w:ascii="Arial" w:cs="Arial" w:eastAsia="Arial" w:hAnsi="Arial"/>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28"/>
                <w:szCs w:val="28"/>
              </w:rPr>
              <w:t xml:space="preserve">D2</w:t>
            </w:r>
          </w:p>
          <w:p>
            <w:pPr>
              <w:jc w:val="center"/>
            </w:pPr>
            <w:r>
              <w:rPr>
                <w:rFonts w:ascii="Arial" w:cs="Arial" w:eastAsia="Arial" w:hAnsi="Arial"/>
                <w:b/>
                <w:bCs/>
                <w:color w:val="C49A2C"/>
                <w:sz w:val="18"/>
                <w:szCs w:val="18"/>
              </w:rPr>
              <w:t xml:space="preserve">Expression</w:t>
            </w:r>
          </w:p>
        </w:tc>
        <w:tc>
          <w:tcPr>
            <w:tcW w:type="dxa" w:w="7960"/>
            <w:tcBorders>
              <w:top w:val="none" w:color="FFFFFF" w:sz="0"/>
              <w:left w:val="none" w:color="FFFFFF" w:sz="0"/>
              <w:bottom w:val="none" w:color="FFFFFF" w:sz="0"/>
              <w:right w:val="none" w:color="FFFFFF" w:sz="0"/>
            </w:tcBorders>
            <w:shd w:fill="EBF1F8" w:val="clear"/>
            <w:tcMar>
              <w:top w:type="dxa" w:w="120"/>
              <w:left w:type="dxa" w:w="180"/>
              <w:bottom w:type="dxa" w:w="120"/>
              <w:right w:type="dxa" w:w="160"/>
            </w:tcMar>
          </w:tcPr>
          <w:p>
            <w:pPr>
              <w:spacing w:after="80" w:before="0"/>
            </w:pPr>
            <w:r>
              <w:rPr>
                <w:rFonts w:ascii="Arial" w:cs="Arial" w:eastAsia="Arial" w:hAnsi="Arial"/>
                <w:b/>
                <w:bCs/>
                <w:color w:val="2C5F8A"/>
                <w:sz w:val="22"/>
                <w:szCs w:val="22"/>
              </w:rPr>
              <w:t xml:space="preserve">Open</w:t>
            </w:r>
            <w:r>
              <w:rPr>
                <w:rFonts w:ascii="Arial" w:cs="Arial" w:eastAsia="Arial" w:hAnsi="Arial"/>
                <w:color w:val="666666"/>
                <w:sz w:val="22"/>
                <w:szCs w:val="22"/>
              </w:rPr>
              <w:t xml:space="preserve">  ↔  </w:t>
            </w:r>
            <w:r>
              <w:rPr>
                <w:rFonts w:ascii="Arial" w:cs="Arial" w:eastAsia="Arial" w:hAnsi="Arial"/>
                <w:b/>
                <w:bCs/>
                <w:color w:val="2C5F8A"/>
                <w:sz w:val="22"/>
                <w:szCs w:val="22"/>
              </w:rPr>
              <w:t xml:space="preserve">Restrained</w:t>
            </w:r>
          </w:p>
          <w:p>
            <w:pPr>
              <w:spacing w:after="0" w:before="0"/>
            </w:pPr>
            <w:r>
              <w:rPr>
                <w:rFonts w:ascii="Arial" w:cs="Arial" w:eastAsia="Arial" w:hAnsi="Arial"/>
                <w:color w:val="1A1A1A"/>
                <w:sz w:val="20"/>
                <w:szCs w:val="20"/>
              </w:rPr>
              <w:t xml:space="preserve">How freely do cultures display emotion, warmth, and social energy? Open cultures are expressive, indulgent, and comfortable with emotional visibility in professional and social settings. Restrained cultures manage affect carefully — social norms contain personal expression, deference to hierarchy shapes interaction, and tradition guides social conduct.</w:t>
            </w:r>
          </w:p>
        </w:tc>
      </w:tr>
    </w:tbl>
    <w:p>
      <w:pPr>
        <w:spacing w:after="140" w:before="0"/>
      </w:pPr>
      <w:r>
        <w:rPr>
          <w:rFonts w:ascii="Arial" w:cs="Arial" w:eastAsia="Arial" w:hAnsi="Arial"/>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28"/>
                <w:szCs w:val="28"/>
              </w:rPr>
              <w:t xml:space="preserve">D3</w:t>
            </w:r>
          </w:p>
          <w:p>
            <w:pPr>
              <w:jc w:val="center"/>
            </w:pPr>
            <w:r>
              <w:rPr>
                <w:rFonts w:ascii="Arial" w:cs="Arial" w:eastAsia="Arial" w:hAnsi="Arial"/>
                <w:b/>
                <w:bCs/>
                <w:color w:val="C49A2C"/>
                <w:sz w:val="18"/>
                <w:szCs w:val="18"/>
              </w:rPr>
              <w:t xml:space="preserve">Structure</w:t>
            </w:r>
          </w:p>
        </w:tc>
        <w:tc>
          <w:tcPr>
            <w:tcW w:type="dxa" w:w="7960"/>
            <w:tcBorders>
              <w:top w:val="none" w:color="FFFFFF" w:sz="0"/>
              <w:left w:val="none" w:color="FFFFFF" w:sz="0"/>
              <w:bottom w:val="none" w:color="FFFFFF" w:sz="0"/>
              <w:right w:val="none" w:color="FFFFFF" w:sz="0"/>
            </w:tcBorders>
            <w:shd w:fill="EBF1F8" w:val="clear"/>
            <w:tcMar>
              <w:top w:type="dxa" w:w="120"/>
              <w:left w:type="dxa" w:w="180"/>
              <w:bottom w:type="dxa" w:w="120"/>
              <w:right w:type="dxa" w:w="160"/>
            </w:tcMar>
          </w:tcPr>
          <w:p>
            <w:pPr>
              <w:spacing w:after="80" w:before="0"/>
            </w:pPr>
            <w:r>
              <w:rPr>
                <w:rFonts w:ascii="Arial" w:cs="Arial" w:eastAsia="Arial" w:hAnsi="Arial"/>
                <w:b/>
                <w:bCs/>
                <w:color w:val="2C5F8A"/>
                <w:sz w:val="22"/>
                <w:szCs w:val="22"/>
              </w:rPr>
              <w:t xml:space="preserve">Certain</w:t>
            </w:r>
            <w:r>
              <w:rPr>
                <w:rFonts w:ascii="Arial" w:cs="Arial" w:eastAsia="Arial" w:hAnsi="Arial"/>
                <w:color w:val="666666"/>
                <w:sz w:val="22"/>
                <w:szCs w:val="22"/>
              </w:rPr>
              <w:t xml:space="preserve">  ↔  </w:t>
            </w:r>
            <w:r>
              <w:rPr>
                <w:rFonts w:ascii="Arial" w:cs="Arial" w:eastAsia="Arial" w:hAnsi="Arial"/>
                <w:b/>
                <w:bCs/>
                <w:color w:val="2C5F8A"/>
                <w:sz w:val="22"/>
                <w:szCs w:val="22"/>
              </w:rPr>
              <w:t xml:space="preserve">Fluid</w:t>
            </w:r>
          </w:p>
          <w:p>
            <w:pPr>
              <w:spacing w:after="0" w:before="0"/>
            </w:pPr>
            <w:r>
              <w:rPr>
                <w:rFonts w:ascii="Arial" w:cs="Arial" w:eastAsia="Arial" w:hAnsi="Arial"/>
                <w:color w:val="1A1A1A"/>
                <w:sz w:val="20"/>
                <w:szCs w:val="20"/>
              </w:rPr>
              <w:t xml:space="preserve">How much does a culture need rules, clarity, and predictability? Certain cultures reduce ambiguity through strong institutions, explicit norms, and clear procedures — uncertainty is uncomfortable and managed actively. Fluid cultures are at ease with ambiguity, improvisation, and change — rules are starting points, not absolutes.</w:t>
            </w:r>
          </w:p>
        </w:tc>
      </w:tr>
    </w:tbl>
    <w:p>
      <w:pPr>
        <w:spacing w:after="140" w:before="0"/>
      </w:pPr>
      <w:r>
        <w:rPr>
          <w:rFonts w:ascii="Arial" w:cs="Arial" w:eastAsia="Arial" w:hAnsi="Arial"/>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28"/>
                <w:szCs w:val="28"/>
              </w:rPr>
              <w:t xml:space="preserve">D4</w:t>
            </w:r>
          </w:p>
          <w:p>
            <w:pPr>
              <w:jc w:val="center"/>
            </w:pPr>
            <w:r>
              <w:rPr>
                <w:rFonts w:ascii="Arial" w:cs="Arial" w:eastAsia="Arial" w:hAnsi="Arial"/>
                <w:b/>
                <w:bCs/>
                <w:color w:val="C49A2C"/>
                <w:sz w:val="18"/>
                <w:szCs w:val="18"/>
              </w:rPr>
              <w:t xml:space="preserve">Drive</w:t>
            </w:r>
          </w:p>
        </w:tc>
        <w:tc>
          <w:tcPr>
            <w:tcW w:type="dxa" w:w="7960"/>
            <w:tcBorders>
              <w:top w:val="none" w:color="FFFFFF" w:sz="0"/>
              <w:left w:val="none" w:color="FFFFFF" w:sz="0"/>
              <w:bottom w:val="none" w:color="FFFFFF" w:sz="0"/>
              <w:right w:val="none" w:color="FFFFFF" w:sz="0"/>
            </w:tcBorders>
            <w:shd w:fill="EBF1F8" w:val="clear"/>
            <w:tcMar>
              <w:top w:type="dxa" w:w="120"/>
              <w:left w:type="dxa" w:w="180"/>
              <w:bottom w:type="dxa" w:w="120"/>
              <w:right w:type="dxa" w:w="160"/>
            </w:tcMar>
          </w:tcPr>
          <w:p>
            <w:pPr>
              <w:spacing w:after="80" w:before="0"/>
            </w:pPr>
            <w:r>
              <w:rPr>
                <w:rFonts w:ascii="Arial" w:cs="Arial" w:eastAsia="Arial" w:hAnsi="Arial"/>
                <w:b/>
                <w:bCs/>
                <w:color w:val="2C5F8A"/>
                <w:sz w:val="22"/>
                <w:szCs w:val="22"/>
              </w:rPr>
              <w:t xml:space="preserve">Striving</w:t>
            </w:r>
            <w:r>
              <w:rPr>
                <w:rFonts w:ascii="Arial" w:cs="Arial" w:eastAsia="Arial" w:hAnsi="Arial"/>
                <w:color w:val="666666"/>
                <w:sz w:val="22"/>
                <w:szCs w:val="22"/>
              </w:rPr>
              <w:t xml:space="preserve">  ↔  </w:t>
            </w:r>
            <w:r>
              <w:rPr>
                <w:rFonts w:ascii="Arial" w:cs="Arial" w:eastAsia="Arial" w:hAnsi="Arial"/>
                <w:b/>
                <w:bCs/>
                <w:color w:val="2C5F8A"/>
                <w:sz w:val="22"/>
                <w:szCs w:val="22"/>
              </w:rPr>
              <w:t xml:space="preserve">Accepting</w:t>
            </w:r>
          </w:p>
          <w:p>
            <w:pPr>
              <w:spacing w:after="0" w:before="0"/>
            </w:pPr>
            <w:r>
              <w:rPr>
                <w:rFonts w:ascii="Arial" w:cs="Arial" w:eastAsia="Arial" w:hAnsi="Arial"/>
                <w:color w:val="1A1A1A"/>
                <w:sz w:val="20"/>
                <w:szCs w:val="20"/>
              </w:rPr>
              <w:t xml:space="preserve">What is the dominant cultural relationship with achievement and ambition? Striving cultures prize competition, performance, and mastery — success is measurable and visible. Accepting cultures prioritise quality of life, harmony, and contentment — sufficiency is valued as much as achievement.</w:t>
            </w:r>
          </w:p>
        </w:tc>
      </w:tr>
    </w:tbl>
    <w:p>
      <w:pPr>
        <w:spacing w:after="240" w:before="0"/>
      </w:pPr>
      <w:r>
        <w:rPr>
          <w:rFonts w:ascii="Arial" w:cs="Arial" w:eastAsia="Arial" w:hAnsi="Arial"/>
        </w:rPr>
        <w:t xml:space="preserve"/>
      </w:r>
    </w:p>
    <w:p>
      <w:pPr>
        <w:spacing w:after="80" w:before="360"/>
      </w:pPr>
      <w:r>
        <w:rPr>
          <w:rFonts w:ascii="Arial" w:cs="Arial" w:eastAsia="Arial" w:hAnsi="Arial"/>
          <w:b/>
          <w:bCs/>
          <w:caps/>
          <w:color w:val="C49A2C"/>
          <w:sz w:val="22"/>
          <w:szCs w:val="22"/>
        </w:rPr>
        <w:t xml:space="preserve">04  </w:t>
      </w:r>
      <w:r>
        <w:rPr>
          <w:rFonts w:ascii="Arial" w:cs="Arial" w:eastAsia="Arial" w:hAnsi="Arial"/>
          <w:b/>
          <w:bCs/>
          <w:color w:val="1B3A6B"/>
          <w:sz w:val="26"/>
          <w:szCs w:val="26"/>
        </w:rPr>
        <w:t xml:space="preserve">Why This Matters for Your Organisation</w:t>
      </w:r>
    </w:p>
    <w:p>
      <w:pPr>
        <w:pBdr>
          <w:bottom w:val="single" w:color="C49A2C" w:sz="16" w:space="0"/>
        </w:pBdr>
        <w:spacing w:after="160" w:before="0"/>
      </w:pPr>
    </w:p>
    <w:p>
      <w:pPr>
        <w:spacing w:after="160" w:before="0"/>
      </w:pPr>
      <w:r>
        <w:rPr>
          <w:rFonts w:ascii="Arial" w:cs="Arial" w:eastAsia="Arial" w:hAnsi="Arial"/>
          <w:color w:val="1A1A1A"/>
          <w:sz w:val="22"/>
          <w:szCs w:val="22"/>
        </w:rPr>
        <w:t xml:space="preserve">The four dimensions are not an academic exercise. They have direct and practical implications for how multinational organisations operate.</w:t>
      </w:r>
    </w:p>
    <w:p>
      <w:pPr>
        <w:spacing w:after="80" w:before="0"/>
      </w:pPr>
      <w:r>
        <w:rPr>
          <w:rFonts w:ascii="Arial" w:cs="Arial" w:eastAsia="Arial" w:hAnsi="Arial"/>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EBF1F8" w:val="clear"/>
            <w:tcMar>
              <w:top w:type="dxa" w:w="60"/>
              <w:left w:type="dxa" w:w="180"/>
              <w:bottom w:type="dxa" w:w="60"/>
              <w:right w:type="dxa" w:w="60"/>
            </w:tcMar>
          </w:tcPr>
          <w:p>
            <w:r>
              <w:rPr>
                <w:rFonts w:ascii="Arial" w:cs="Arial" w:eastAsia="Arial" w:hAnsi="Arial"/>
                <w:b/>
                <w:bCs/>
                <w:color w:val="1B3A6B"/>
                <w:sz w:val="21"/>
                <w:szCs w:val="21"/>
              </w:rPr>
              <w:t xml:space="preserve">Talent &amp; Teams</w:t>
            </w:r>
          </w:p>
        </w:tc>
        <w:tc>
          <w:tcPr>
            <w:tcW w:type="dxa" w:w="7760"/>
            <w:tcBorders>
              <w:top w:val="none" w:color="FFFFFF" w:sz="0"/>
              <w:left w:val="none" w:color="FFFFFF" w:sz="0"/>
              <w:bottom w:val="none" w:color="FFFFFF" w:sz="0"/>
              <w:right w:val="none" w:color="FFFFFF" w:sz="0"/>
            </w:tcBorders>
            <w:shd w:fill="EBF1F8" w:val="clear"/>
            <w:tcMar>
              <w:top w:type="dxa" w:w="60"/>
              <w:left w:type="dxa" w:w="60"/>
              <w:bottom w:type="dxa" w:w="60"/>
              <w:right w:type="dxa" w:w="180"/>
            </w:tcMar>
          </w:tcPr>
          <w:p>
            <w:r>
              <w:rPr>
                <w:rFonts w:ascii="Arial" w:cs="Arial" w:eastAsia="Arial" w:hAnsi="Arial"/>
                <w:color w:val="1A1A1A"/>
                <w:sz w:val="21"/>
                <w:szCs w:val="21"/>
              </w:rPr>
              <w:t xml:space="preserve">Understanding where a team's members sit on Identity and Expression predicts where friction will emerge — around feedback styles, decision-making authority, and the balance between individual and group accountability.</w:t>
            </w:r>
          </w:p>
        </w:tc>
      </w:tr>
      <w:tr>
        <w:tc>
          <w:tcPr>
            <w:tcW w:type="dxa" w:w="1600"/>
            <w:tcBorders>
              <w:top w:val="none" w:color="FFFFFF" w:sz="0"/>
              <w:left w:val="none" w:color="FFFFFF" w:sz="0"/>
              <w:bottom w:val="none" w:color="FFFFFF" w:sz="0"/>
              <w:right w:val="none" w:color="FFFFFF" w:sz="0"/>
            </w:tcBorders>
            <w:shd w:fill="EBF1F8" w:val="clear"/>
            <w:tcMar>
              <w:top w:type="dxa" w:w="60"/>
              <w:left w:type="dxa" w:w="180"/>
              <w:bottom w:type="dxa" w:w="60"/>
              <w:right w:type="dxa" w:w="60"/>
            </w:tcMar>
          </w:tcPr>
          <w:p>
            <w:r>
              <w:rPr>
                <w:rFonts w:ascii="Arial" w:cs="Arial" w:eastAsia="Arial" w:hAnsi="Arial"/>
                <w:b/>
                <w:bCs/>
                <w:color w:val="1B3A6B"/>
                <w:sz w:val="21"/>
                <w:szCs w:val="21"/>
              </w:rPr>
              <w:t xml:space="preserve">Leadership</w:t>
            </w:r>
          </w:p>
        </w:tc>
        <w:tc>
          <w:tcPr>
            <w:tcW w:type="dxa" w:w="7760"/>
            <w:tcBorders>
              <w:top w:val="none" w:color="FFFFFF" w:sz="0"/>
              <w:left w:val="none" w:color="FFFFFF" w:sz="0"/>
              <w:bottom w:val="none" w:color="FFFFFF" w:sz="0"/>
              <w:right w:val="none" w:color="FFFFFF" w:sz="0"/>
            </w:tcBorders>
            <w:shd w:fill="EBF1F8" w:val="clear"/>
            <w:tcMar>
              <w:top w:type="dxa" w:w="60"/>
              <w:left w:type="dxa" w:w="60"/>
              <w:bottom w:type="dxa" w:w="60"/>
              <w:right w:type="dxa" w:w="180"/>
            </w:tcMar>
          </w:tcPr>
          <w:p>
            <w:r>
              <w:rPr>
                <w:rFonts w:ascii="Arial" w:cs="Arial" w:eastAsia="Arial" w:hAnsi="Arial"/>
                <w:color w:val="1A1A1A"/>
                <w:sz w:val="21"/>
                <w:szCs w:val="21"/>
              </w:rPr>
              <w:t xml:space="preserve">A leader who is effective in a high-Drive, high-Certain context will struggle in a high-Expression, Fluid environment unless they understand the shift being asked of them. The four dimensions make that shift legible.</w:t>
            </w:r>
          </w:p>
        </w:tc>
      </w:tr>
      <w:tr>
        <w:tc>
          <w:tcPr>
            <w:tcW w:type="dxa" w:w="1600"/>
            <w:tcBorders>
              <w:top w:val="none" w:color="FFFFFF" w:sz="0"/>
              <w:left w:val="none" w:color="FFFFFF" w:sz="0"/>
              <w:bottom w:val="none" w:color="FFFFFF" w:sz="0"/>
              <w:right w:val="none" w:color="FFFFFF" w:sz="0"/>
            </w:tcBorders>
            <w:shd w:fill="EBF1F8" w:val="clear"/>
            <w:tcMar>
              <w:top w:type="dxa" w:w="60"/>
              <w:left w:type="dxa" w:w="180"/>
              <w:bottom w:type="dxa" w:w="60"/>
              <w:right w:type="dxa" w:w="60"/>
            </w:tcMar>
          </w:tcPr>
          <w:p>
            <w:r>
              <w:rPr>
                <w:rFonts w:ascii="Arial" w:cs="Arial" w:eastAsia="Arial" w:hAnsi="Arial"/>
                <w:b/>
                <w:bCs/>
                <w:color w:val="1B3A6B"/>
                <w:sz w:val="21"/>
                <w:szCs w:val="21"/>
              </w:rPr>
              <w:t xml:space="preserve">Client Relationships</w:t>
            </w:r>
          </w:p>
        </w:tc>
        <w:tc>
          <w:tcPr>
            <w:tcW w:type="dxa" w:w="7760"/>
            <w:tcBorders>
              <w:top w:val="none" w:color="FFFFFF" w:sz="0"/>
              <w:left w:val="none" w:color="FFFFFF" w:sz="0"/>
              <w:bottom w:val="none" w:color="FFFFFF" w:sz="0"/>
              <w:right w:val="none" w:color="FFFFFF" w:sz="0"/>
            </w:tcBorders>
            <w:shd w:fill="EBF1F8" w:val="clear"/>
            <w:tcMar>
              <w:top w:type="dxa" w:w="60"/>
              <w:left w:type="dxa" w:w="60"/>
              <w:bottom w:type="dxa" w:w="60"/>
              <w:right w:type="dxa" w:w="180"/>
            </w:tcMar>
          </w:tcPr>
          <w:p>
            <w:r>
              <w:rPr>
                <w:rFonts w:ascii="Arial" w:cs="Arial" w:eastAsia="Arial" w:hAnsi="Arial"/>
                <w:color w:val="1A1A1A"/>
                <w:sz w:val="21"/>
                <w:szCs w:val="21"/>
              </w:rPr>
              <w:t xml:space="preserve">Whether a client culture is Open or Restrained, Self or Social, fundamentally changes how trust is built, how proposals are received, and how long decisions take. Misreading this is costly.</w:t>
            </w:r>
          </w:p>
        </w:tc>
      </w:tr>
      <w:tr>
        <w:tc>
          <w:tcPr>
            <w:tcW w:type="dxa" w:w="1600"/>
            <w:tcBorders>
              <w:top w:val="none" w:color="FFFFFF" w:sz="0"/>
              <w:left w:val="none" w:color="FFFFFF" w:sz="0"/>
              <w:bottom w:val="none" w:color="FFFFFF" w:sz="0"/>
              <w:right w:val="none" w:color="FFFFFF" w:sz="0"/>
            </w:tcBorders>
            <w:shd w:fill="EBF1F8" w:val="clear"/>
            <w:tcMar>
              <w:top w:type="dxa" w:w="60"/>
              <w:left w:type="dxa" w:w="180"/>
              <w:bottom w:type="dxa" w:w="60"/>
              <w:right w:type="dxa" w:w="60"/>
            </w:tcMar>
          </w:tcPr>
          <w:p>
            <w:r>
              <w:rPr>
                <w:rFonts w:ascii="Arial" w:cs="Arial" w:eastAsia="Arial" w:hAnsi="Arial"/>
                <w:b/>
                <w:bCs/>
                <w:color w:val="1B3A6B"/>
                <w:sz w:val="21"/>
                <w:szCs w:val="21"/>
              </w:rPr>
              <w:t xml:space="preserve">Market Entry</w:t>
            </w:r>
          </w:p>
        </w:tc>
        <w:tc>
          <w:tcPr>
            <w:tcW w:type="dxa" w:w="7760"/>
            <w:tcBorders>
              <w:top w:val="none" w:color="FFFFFF" w:sz="0"/>
              <w:left w:val="none" w:color="FFFFFF" w:sz="0"/>
              <w:bottom w:val="none" w:color="FFFFFF" w:sz="0"/>
              <w:right w:val="none" w:color="FFFFFF" w:sz="0"/>
            </w:tcBorders>
            <w:shd w:fill="EBF1F8" w:val="clear"/>
            <w:tcMar>
              <w:top w:type="dxa" w:w="60"/>
              <w:left w:type="dxa" w:w="60"/>
              <w:bottom w:type="dxa" w:w="60"/>
              <w:right w:type="dxa" w:w="180"/>
            </w:tcMar>
          </w:tcPr>
          <w:p>
            <w:r>
              <w:rPr>
                <w:rFonts w:ascii="Arial" w:cs="Arial" w:eastAsia="Arial" w:hAnsi="Arial"/>
                <w:color w:val="1A1A1A"/>
                <w:sz w:val="21"/>
                <w:szCs w:val="21"/>
              </w:rPr>
              <w:t xml:space="preserve">Designing products, communications, and customer experiences for a market requires knowing where that market sits on all four dimensions — not just its geographic location.</w:t>
            </w:r>
          </w:p>
        </w:tc>
      </w:tr>
      <w:tr>
        <w:tc>
          <w:tcPr>
            <w:tcW w:type="dxa" w:w="1600"/>
            <w:tcBorders>
              <w:top w:val="none" w:color="FFFFFF" w:sz="0"/>
              <w:left w:val="none" w:color="FFFFFF" w:sz="0"/>
              <w:bottom w:val="none" w:color="FFFFFF" w:sz="0"/>
              <w:right w:val="none" w:color="FFFFFF" w:sz="0"/>
            </w:tcBorders>
            <w:shd w:fill="EBF1F8" w:val="clear"/>
            <w:tcMar>
              <w:top w:type="dxa" w:w="60"/>
              <w:left w:type="dxa" w:w="180"/>
              <w:bottom w:type="dxa" w:w="60"/>
              <w:right w:type="dxa" w:w="60"/>
            </w:tcMar>
          </w:tcPr>
          <w:p>
            <w:r>
              <w:rPr>
                <w:rFonts w:ascii="Arial" w:cs="Arial" w:eastAsia="Arial" w:hAnsi="Arial"/>
                <w:b/>
                <w:bCs/>
                <w:color w:val="1B3A6B"/>
                <w:sz w:val="21"/>
                <w:szCs w:val="21"/>
              </w:rPr>
              <w:t xml:space="preserve">Change Management</w:t>
            </w:r>
          </w:p>
        </w:tc>
        <w:tc>
          <w:tcPr>
            <w:tcW w:type="dxa" w:w="7760"/>
            <w:tcBorders>
              <w:top w:val="none" w:color="FFFFFF" w:sz="0"/>
              <w:left w:val="none" w:color="FFFFFF" w:sz="0"/>
              <w:bottom w:val="none" w:color="FFFFFF" w:sz="0"/>
              <w:right w:val="none" w:color="FFFFFF" w:sz="0"/>
            </w:tcBorders>
            <w:shd w:fill="EBF1F8" w:val="clear"/>
            <w:tcMar>
              <w:top w:type="dxa" w:w="60"/>
              <w:left w:type="dxa" w:w="60"/>
              <w:bottom w:type="dxa" w:w="60"/>
              <w:right w:type="dxa" w:w="180"/>
            </w:tcMar>
          </w:tcPr>
          <w:p>
            <w:r>
              <w:rPr>
                <w:rFonts w:ascii="Arial" w:cs="Arial" w:eastAsia="Arial" w:hAnsi="Arial"/>
                <w:color w:val="1A1A1A"/>
                <w:sz w:val="21"/>
                <w:szCs w:val="21"/>
              </w:rPr>
              <w:t xml:space="preserve">A change programme that works in a Fluid, Striving culture will encounter structural resistance in a Certain, Accepting one. The framework tells you why, and what to do differently.</w:t>
            </w:r>
          </w:p>
        </w:tc>
      </w:tr>
    </w:tbl>
    <w:p>
      <w:pPr>
        <w:spacing w:after="200" w:before="0"/>
      </w:pPr>
      <w:r>
        <w:rPr>
          <w:rFonts w:ascii="Arial" w:cs="Arial" w:eastAsia="Arial" w:hAnsi="Arial"/>
        </w:rPr>
        <w:t xml:space="preserve"/>
      </w:r>
    </w:p>
    <w:p>
      <w:pPr>
        <w:spacing w:after="80" w:before="360"/>
      </w:pPr>
      <w:r>
        <w:rPr>
          <w:rFonts w:ascii="Arial" w:cs="Arial" w:eastAsia="Arial" w:hAnsi="Arial"/>
          <w:b/>
          <w:bCs/>
          <w:caps/>
          <w:color w:val="C49A2C"/>
          <w:sz w:val="22"/>
          <w:szCs w:val="22"/>
        </w:rPr>
        <w:t xml:space="preserve">05  </w:t>
      </w:r>
      <w:r>
        <w:rPr>
          <w:rFonts w:ascii="Arial" w:cs="Arial" w:eastAsia="Arial" w:hAnsi="Arial"/>
          <w:b/>
          <w:bCs/>
          <w:color w:val="1B3A6B"/>
          <w:sz w:val="26"/>
          <w:szCs w:val="26"/>
        </w:rPr>
        <w:t xml:space="preserve">Transparency: What This Framework Is Not</w:t>
      </w:r>
    </w:p>
    <w:p>
      <w:pPr>
        <w:pBdr>
          <w:bottom w:val="single" w:color="C49A2C" w:sz="16" w:space="0"/>
        </w:pBdr>
        <w:spacing w:after="160" w:before="0"/>
      </w:pPr>
    </w:p>
    <w:p>
      <w:pPr>
        <w:spacing w:after="160" w:before="0"/>
      </w:pPr>
      <w:r>
        <w:rPr>
          <w:rFonts w:ascii="Arial" w:cs="Arial" w:eastAsia="Arial" w:hAnsi="Arial"/>
          <w:color w:val="1A1A1A"/>
          <w:sz w:val="22"/>
          <w:szCs w:val="22"/>
        </w:rPr>
        <w:t xml:space="preserve">We believe credibility is built on honesty about limitations. There are three things worth being clear about.</w:t>
      </w:r>
    </w:p>
    <w:p>
      <w:pPr>
        <w:spacing w:after="80" w:before="0"/>
      </w:pPr>
      <w:r>
        <w:rPr>
          <w:rFonts w:ascii="Arial" w:cs="Arial" w:eastAsia="Arial" w:hAnsi="Arial"/>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EBF1F8" w:val="clear"/>
            <w:tcMar>
              <w:top w:type="dxa" w:w="60"/>
              <w:left w:type="dxa" w:w="180"/>
              <w:bottom w:type="dxa" w:w="60"/>
              <w:right w:type="dxa" w:w="60"/>
            </w:tcMar>
          </w:tcPr>
          <w:p>
            <w:r>
              <w:rPr>
                <w:rFonts w:ascii="Arial" w:cs="Arial" w:eastAsia="Arial" w:hAnsi="Arial"/>
                <w:b/>
                <w:bCs/>
                <w:color w:val="1B3A6B"/>
                <w:sz w:val="21"/>
                <w:szCs w:val="21"/>
              </w:rPr>
              <w:t xml:space="preserve">Not a replacement</w:t>
            </w:r>
          </w:p>
        </w:tc>
        <w:tc>
          <w:tcPr>
            <w:tcW w:type="dxa" w:w="7760"/>
            <w:tcBorders>
              <w:top w:val="none" w:color="FFFFFF" w:sz="0"/>
              <w:left w:val="none" w:color="FFFFFF" w:sz="0"/>
              <w:bottom w:val="none" w:color="FFFFFF" w:sz="0"/>
              <w:right w:val="none" w:color="FFFFFF" w:sz="0"/>
            </w:tcBorders>
            <w:shd w:fill="EBF1F8" w:val="clear"/>
            <w:tcMar>
              <w:top w:type="dxa" w:w="60"/>
              <w:left w:type="dxa" w:w="60"/>
              <w:bottom w:type="dxa" w:w="60"/>
              <w:right w:type="dxa" w:w="180"/>
            </w:tcMar>
          </w:tcPr>
          <w:p>
            <w:r>
              <w:rPr>
                <w:rFonts w:ascii="Arial" w:cs="Arial" w:eastAsia="Arial" w:hAnsi="Arial"/>
                <w:color w:val="1A1A1A"/>
                <w:sz w:val="21"/>
                <w:szCs w:val="21"/>
              </w:rPr>
              <w:t xml:space="preserve">The four dimensions synthesise the common signal across all five source frameworks. Researchers or practitioners who need the granularity of a specific framework — for example, Hofstede's country scores or GLOBE's distinction between values and practices — should use those frameworks directly. The four dimensions complement rather than replace them.</w:t>
            </w:r>
          </w:p>
        </w:tc>
      </w:tr>
      <w:tr>
        <w:tc>
          <w:tcPr>
            <w:tcW w:type="dxa" w:w="1600"/>
            <w:tcBorders>
              <w:top w:val="none" w:color="FFFFFF" w:sz="0"/>
              <w:left w:val="none" w:color="FFFFFF" w:sz="0"/>
              <w:bottom w:val="none" w:color="FFFFFF" w:sz="0"/>
              <w:right w:val="none" w:color="FFFFFF" w:sz="0"/>
            </w:tcBorders>
            <w:shd w:fill="EBF1F8" w:val="clear"/>
            <w:tcMar>
              <w:top w:type="dxa" w:w="60"/>
              <w:left w:type="dxa" w:w="180"/>
              <w:bottom w:type="dxa" w:w="60"/>
              <w:right w:type="dxa" w:w="60"/>
            </w:tcMar>
          </w:tcPr>
          <w:p>
            <w:r>
              <w:rPr>
                <w:rFonts w:ascii="Arial" w:cs="Arial" w:eastAsia="Arial" w:hAnsi="Arial"/>
                <w:b/>
                <w:bCs/>
                <w:color w:val="1B3A6B"/>
                <w:sz w:val="21"/>
                <w:szCs w:val="21"/>
              </w:rPr>
              <w:t xml:space="preserve">Uneven anchoring</w:t>
            </w:r>
          </w:p>
        </w:tc>
        <w:tc>
          <w:tcPr>
            <w:tcW w:type="dxa" w:w="7760"/>
            <w:tcBorders>
              <w:top w:val="none" w:color="FFFFFF" w:sz="0"/>
              <w:left w:val="none" w:color="FFFFFF" w:sz="0"/>
              <w:bottom w:val="none" w:color="FFFFFF" w:sz="0"/>
              <w:right w:val="none" w:color="FFFFFF" w:sz="0"/>
            </w:tcBorders>
            <w:shd w:fill="EBF1F8" w:val="clear"/>
            <w:tcMar>
              <w:top w:type="dxa" w:w="60"/>
              <w:left w:type="dxa" w:w="60"/>
              <w:bottom w:type="dxa" w:w="60"/>
              <w:right w:type="dxa" w:w="180"/>
            </w:tcMar>
          </w:tcPr>
          <w:p>
            <w:r>
              <w:rPr>
                <w:rFonts w:ascii="Arial" w:cs="Arial" w:eastAsia="Arial" w:hAnsi="Arial"/>
                <w:color w:val="1A1A1A"/>
                <w:sz w:val="21"/>
                <w:szCs w:val="21"/>
              </w:rPr>
              <w:t xml:space="preserve">Identity and Expression are richly supported by multiple independent items across multiple frameworks. Structure and Drive rest on fewer primary anchors, particularly on their Fluid and Accepting poles. These poles are real — the data supports them — but they are defined more by the absence of their opposite than by their own strong positive indicators.</w:t>
            </w:r>
          </w:p>
        </w:tc>
      </w:tr>
      <w:tr>
        <w:tc>
          <w:tcPr>
            <w:tcW w:type="dxa" w:w="1600"/>
            <w:tcBorders>
              <w:top w:val="none" w:color="FFFFFF" w:sz="0"/>
              <w:left w:val="none" w:color="FFFFFF" w:sz="0"/>
              <w:bottom w:val="none" w:color="FFFFFF" w:sz="0"/>
              <w:right w:val="none" w:color="FFFFFF" w:sz="0"/>
            </w:tcBorders>
            <w:shd w:fill="EBF1F8" w:val="clear"/>
            <w:tcMar>
              <w:top w:type="dxa" w:w="60"/>
              <w:left w:type="dxa" w:w="180"/>
              <w:bottom w:type="dxa" w:w="60"/>
              <w:right w:type="dxa" w:w="60"/>
            </w:tcMar>
          </w:tcPr>
          <w:p>
            <w:r>
              <w:rPr>
                <w:rFonts w:ascii="Arial" w:cs="Arial" w:eastAsia="Arial" w:hAnsi="Arial"/>
                <w:b/>
                <w:bCs/>
                <w:color w:val="1B3A6B"/>
                <w:sz w:val="21"/>
                <w:szCs w:val="21"/>
              </w:rPr>
              <w:t xml:space="preserve">One conceptual override</w:t>
            </w:r>
          </w:p>
        </w:tc>
        <w:tc>
          <w:tcPr>
            <w:tcW w:type="dxa" w:w="7760"/>
            <w:tcBorders>
              <w:top w:val="none" w:color="FFFFFF" w:sz="0"/>
              <w:left w:val="none" w:color="FFFFFF" w:sz="0"/>
              <w:bottom w:val="none" w:color="FFFFFF" w:sz="0"/>
              <w:right w:val="none" w:color="FFFFFF" w:sz="0"/>
            </w:tcBorders>
            <w:shd w:fill="EBF1F8" w:val="clear"/>
            <w:tcMar>
              <w:top w:type="dxa" w:w="60"/>
              <w:left w:type="dxa" w:w="60"/>
              <w:bottom w:type="dxa" w:w="60"/>
              <w:right w:type="dxa" w:w="180"/>
            </w:tcMar>
          </w:tcPr>
          <w:p>
            <w:r>
              <w:rPr>
                <w:rFonts w:ascii="Arial" w:cs="Arial" w:eastAsia="Arial" w:hAnsi="Arial"/>
                <w:color w:val="1A1A1A"/>
                <w:sz w:val="21"/>
                <w:szCs w:val="21"/>
              </w:rPr>
              <w:t xml:space="preserve">GLOBE's Performance Orientation measure statistically groups with Expression, but its meaning — achievement-striving, competitive ambition — belongs unambiguously in Drive. We moved it, and we are transparent about that decision. Statistics inform interpretation; they do not replace it.</w:t>
            </w:r>
          </w:p>
        </w:tc>
      </w:tr>
    </w:tbl>
    <w:p>
      <w:pPr>
        <w:spacing w:after="200" w:before="0"/>
      </w:pPr>
      <w:r>
        <w:rPr>
          <w:rFonts w:ascii="Arial" w:cs="Arial" w:eastAsia="Arial" w:hAnsi="Arial"/>
        </w:rPr>
        <w:t xml:space="preserve"/>
      </w:r>
    </w:p>
    <w:p>
      <w:pPr>
        <w:spacing w:after="80" w:before="360"/>
      </w:pPr>
      <w:r>
        <w:rPr>
          <w:rFonts w:ascii="Arial" w:cs="Arial" w:eastAsia="Arial" w:hAnsi="Arial"/>
          <w:b/>
          <w:bCs/>
          <w:caps/>
          <w:color w:val="C49A2C"/>
          <w:sz w:val="22"/>
          <w:szCs w:val="22"/>
        </w:rPr>
        <w:t xml:space="preserve">06  </w:t>
      </w:r>
      <w:r>
        <w:rPr>
          <w:rFonts w:ascii="Arial" w:cs="Arial" w:eastAsia="Arial" w:hAnsi="Arial"/>
          <w:b/>
          <w:bCs/>
          <w:color w:val="1B3A6B"/>
          <w:sz w:val="26"/>
          <w:szCs w:val="26"/>
        </w:rPr>
        <w:t xml:space="preserve">How We Compare to the Source Frameworks</w:t>
      </w:r>
    </w:p>
    <w:p>
      <w:pPr>
        <w:pBdr>
          <w:bottom w:val="single" w:color="C49A2C" w:sz="16" w:space="0"/>
        </w:pBdr>
        <w:spacing w:after="160" w:before="0"/>
      </w:pPr>
    </w:p>
    <w:p>
      <w:pPr>
        <w:spacing w:after="160" w:before="0"/>
      </w:pPr>
      <w:r>
        <w:rPr>
          <w:rFonts w:ascii="Arial" w:cs="Arial" w:eastAsia="Arial" w:hAnsi="Arial"/>
          <w:color w:val="1A1A1A"/>
          <w:sz w:val="22"/>
          <w:szCs w:val="22"/>
        </w:rPr>
        <w:t xml:space="preserve">The table below shows how each of the five source frameworks relates to the four-dimension model — what it contributes, where it falls short, and how its dimensions map across.</w:t>
      </w:r>
    </w:p>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80"/>
        <w:gridCol w:w="3080"/>
      </w:tblGrid>
      <w:tr>
        <w:trPr>
          <w:tblHeader/>
        </w:trPr>
        <w:tc>
          <w:tcPr>
            <w:tcW w:type="dxa" w:w="1600"/>
            <w:tcBorders>
              <w:top w:val="single" w:color="D9E2EC" w:sz="4"/>
              <w:left w:val="single" w:color="D9E2EC" w:sz="4"/>
              <w:bottom w:val="single" w:color="D9E2EC" w:sz="4"/>
              <w:right w:val="single" w:color="D9E2E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Framework</w:t>
            </w:r>
          </w:p>
        </w:tc>
        <w:tc>
          <w:tcPr>
            <w:tcW w:type="dxa" w:w="2200"/>
            <w:tcBorders>
              <w:top w:val="single" w:color="D9E2EC" w:sz="4"/>
              <w:left w:val="single" w:color="D9E2EC" w:sz="4"/>
              <w:bottom w:val="single" w:color="D9E2EC" w:sz="4"/>
              <w:right w:val="single" w:color="D9E2E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Core Strength</w:t>
            </w:r>
          </w:p>
        </w:tc>
        <w:tc>
          <w:tcPr>
            <w:tcW w:type="dxa" w:w="2480"/>
            <w:tcBorders>
              <w:top w:val="single" w:color="D9E2EC" w:sz="4"/>
              <w:left w:val="single" w:color="D9E2EC" w:sz="4"/>
              <w:bottom w:val="single" w:color="D9E2EC" w:sz="4"/>
              <w:right w:val="single" w:color="D9E2E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Limitation</w:t>
            </w:r>
          </w:p>
        </w:tc>
        <w:tc>
          <w:tcPr>
            <w:tcW w:type="dxa" w:w="3080"/>
            <w:tcBorders>
              <w:top w:val="single" w:color="D9E2EC" w:sz="4"/>
              <w:left w:val="single" w:color="D9E2EC" w:sz="4"/>
              <w:bottom w:val="single" w:color="D9E2EC" w:sz="4"/>
              <w:right w:val="single" w:color="D9E2E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How It Maps</w:t>
            </w:r>
          </w:p>
        </w:tc>
      </w:tr>
      <w:tr>
        <w:tc>
          <w:tcPr>
            <w:tcW w:type="dxa" w:w="1600"/>
            <w:tcBorders>
              <w:top w:val="single" w:color="D9E2EC" w:sz="4"/>
              <w:left w:val="single" w:color="D9E2EC" w:sz="4"/>
              <w:bottom w:val="single" w:color="D9E2EC" w:sz="4"/>
              <w:right w:val="single" w:color="D9E2EC" w:sz="4"/>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A1A1A"/>
                <w:sz w:val="19"/>
                <w:szCs w:val="19"/>
              </w:rPr>
              <w:t xml:space="preserve">Hofstede</w:t>
            </w:r>
          </w:p>
        </w:tc>
        <w:tc>
          <w:tcPr>
            <w:tcW w:type="dxa" w:w="2200"/>
            <w:tcBorders>
              <w:top w:val="single" w:color="D9E2EC" w:sz="4"/>
              <w:left w:val="single" w:color="D9E2EC" w:sz="4"/>
              <w:bottom w:val="single" w:color="D9E2EC" w:sz="4"/>
              <w:right w:val="single" w:color="D9E2EC" w:sz="4"/>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A1A1A"/>
                <w:sz w:val="19"/>
                <w:szCs w:val="19"/>
              </w:rPr>
              <w:t xml:space="preserve">Most widely cited globally; covers 70+ nations with robust country scores</w:t>
            </w:r>
          </w:p>
        </w:tc>
        <w:tc>
          <w:tcPr>
            <w:tcW w:type="dxa" w:w="2480"/>
            <w:tcBorders>
              <w:top w:val="single" w:color="D9E2EC" w:sz="4"/>
              <w:left w:val="single" w:color="D9E2EC" w:sz="4"/>
              <w:bottom w:val="single" w:color="D9E2EC" w:sz="4"/>
              <w:right w:val="single" w:color="D9E2EC" w:sz="4"/>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A1A1A"/>
                <w:sz w:val="19"/>
                <w:szCs w:val="19"/>
              </w:rPr>
              <w:t xml:space="preserve">Data from the 1960s–70s; masculine/feminine labelling now problematic</w:t>
            </w:r>
          </w:p>
        </w:tc>
        <w:tc>
          <w:tcPr>
            <w:tcW w:type="dxa" w:w="3080"/>
            <w:tcBorders>
              <w:top w:val="single" w:color="D9E2EC" w:sz="4"/>
              <w:left w:val="single" w:color="D9E2EC" w:sz="4"/>
              <w:bottom w:val="single" w:color="D9E2EC" w:sz="4"/>
              <w:right w:val="single" w:color="D9E2EC" w:sz="4"/>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A1A1A"/>
                <w:sz w:val="19"/>
                <w:szCs w:val="19"/>
              </w:rPr>
              <w:t xml:space="preserve">All six dimensions absorbed: Individualism → Identity; Power Distance → Identity; Uncertainty Avoidance → Structure; Indulgence → Expression; Masculinity → Drive; Long-term Orientation → Expression/Drive</w:t>
            </w:r>
          </w:p>
        </w:tc>
      </w:tr>
      <w:tr>
        <w:tc>
          <w:tcPr>
            <w:tcW w:type="dxa" w:w="1600"/>
            <w:tcBorders>
              <w:top w:val="single" w:color="D9E2EC" w:sz="4"/>
              <w:left w:val="single" w:color="D9E2EC" w:sz="4"/>
              <w:bottom w:val="single" w:color="D9E2EC" w:sz="4"/>
              <w:right w:val="single" w:color="D9E2EC" w:sz="4"/>
            </w:tcBorders>
            <w:shd w:fill="F7F9FC" w:val="clear"/>
            <w:tcMar>
              <w:top w:type="dxa" w:w="80"/>
              <w:left w:type="dxa" w:w="140"/>
              <w:bottom w:type="dxa" w:w="80"/>
              <w:right w:type="dxa" w:w="140"/>
            </w:tcMar>
            <w:vAlign w:val="top"/>
          </w:tcPr>
          <w:p>
            <w:pPr>
              <w:spacing w:after="0" w:before="0"/>
            </w:pPr>
            <w:r>
              <w:rPr>
                <w:rFonts w:ascii="Arial" w:cs="Arial" w:eastAsia="Arial" w:hAnsi="Arial"/>
                <w:b/>
                <w:bCs/>
                <w:color w:val="1A1A1A"/>
                <w:sz w:val="19"/>
                <w:szCs w:val="19"/>
              </w:rPr>
              <w:t xml:space="preserve">GLOBE</w:t>
            </w:r>
          </w:p>
        </w:tc>
        <w:tc>
          <w:tcPr>
            <w:tcW w:type="dxa" w:w="2200"/>
            <w:tcBorders>
              <w:top w:val="single" w:color="D9E2EC" w:sz="4"/>
              <w:left w:val="single" w:color="D9E2EC" w:sz="4"/>
              <w:bottom w:val="single" w:color="D9E2EC" w:sz="4"/>
              <w:right w:val="single" w:color="D9E2EC" w:sz="4"/>
            </w:tcBorders>
            <w:shd w:fill="F7F9FC" w:val="clear"/>
            <w:tcMar>
              <w:top w:type="dxa" w:w="80"/>
              <w:left w:type="dxa" w:w="140"/>
              <w:bottom w:type="dxa" w:w="80"/>
              <w:right w:type="dxa" w:w="140"/>
            </w:tcMar>
            <w:vAlign w:val="top"/>
          </w:tcPr>
          <w:p>
            <w:pPr>
              <w:spacing w:after="0" w:before="0"/>
            </w:pPr>
            <w:r>
              <w:rPr>
                <w:rFonts w:ascii="Arial" w:cs="Arial" w:eastAsia="Arial" w:hAnsi="Arial"/>
                <w:b w:val="false"/>
                <w:bCs w:val="false"/>
                <w:color w:val="1A1A1A"/>
                <w:sz w:val="19"/>
                <w:szCs w:val="19"/>
              </w:rPr>
              <w:t xml:space="preserve">Rigorous multi-country study; distinguishes what cultures value vs. what they practise</w:t>
            </w:r>
          </w:p>
        </w:tc>
        <w:tc>
          <w:tcPr>
            <w:tcW w:type="dxa" w:w="2480"/>
            <w:tcBorders>
              <w:top w:val="single" w:color="D9E2EC" w:sz="4"/>
              <w:left w:val="single" w:color="D9E2EC" w:sz="4"/>
              <w:bottom w:val="single" w:color="D9E2EC" w:sz="4"/>
              <w:right w:val="single" w:color="D9E2EC" w:sz="4"/>
            </w:tcBorders>
            <w:shd w:fill="F7F9FC" w:val="clear"/>
            <w:tcMar>
              <w:top w:type="dxa" w:w="80"/>
              <w:left w:type="dxa" w:w="140"/>
              <w:bottom w:type="dxa" w:w="80"/>
              <w:right w:type="dxa" w:w="140"/>
            </w:tcMar>
            <w:vAlign w:val="top"/>
          </w:tcPr>
          <w:p>
            <w:pPr>
              <w:spacing w:after="0" w:before="0"/>
            </w:pPr>
            <w:r>
              <w:rPr>
                <w:rFonts w:ascii="Arial" w:cs="Arial" w:eastAsia="Arial" w:hAnsi="Arial"/>
                <w:b w:val="false"/>
                <w:bCs w:val="false"/>
                <w:color w:val="1A1A1A"/>
                <w:sz w:val="19"/>
                <w:szCs w:val="19"/>
              </w:rPr>
              <w:t xml:space="preserve">Nine dimensions with significant overlap; complex to apply in the field</w:t>
            </w:r>
          </w:p>
        </w:tc>
        <w:tc>
          <w:tcPr>
            <w:tcW w:type="dxa" w:w="3080"/>
            <w:tcBorders>
              <w:top w:val="single" w:color="D9E2EC" w:sz="4"/>
              <w:left w:val="single" w:color="D9E2EC" w:sz="4"/>
              <w:bottom w:val="single" w:color="D9E2EC" w:sz="4"/>
              <w:right w:val="single" w:color="D9E2EC" w:sz="4"/>
            </w:tcBorders>
            <w:shd w:fill="F7F9FC" w:val="clear"/>
            <w:tcMar>
              <w:top w:type="dxa" w:w="80"/>
              <w:left w:type="dxa" w:w="140"/>
              <w:bottom w:type="dxa" w:w="80"/>
              <w:right w:type="dxa" w:w="140"/>
            </w:tcMar>
            <w:vAlign w:val="top"/>
          </w:tcPr>
          <w:p>
            <w:pPr>
              <w:spacing w:after="0" w:before="0"/>
            </w:pPr>
            <w:r>
              <w:rPr>
                <w:rFonts w:ascii="Arial" w:cs="Arial" w:eastAsia="Arial" w:hAnsi="Arial"/>
                <w:b w:val="false"/>
                <w:bCs w:val="false"/>
                <w:color w:val="1A1A1A"/>
                <w:sz w:val="19"/>
                <w:szCs w:val="19"/>
              </w:rPr>
              <w:t xml:space="preserve">Dimensions spread across all four: notably GLOBE Uncertainty Avoidance maps to Identity (not Structure) — a key empirical distinction</w:t>
            </w:r>
          </w:p>
        </w:tc>
      </w:tr>
      <w:tr>
        <w:tc>
          <w:tcPr>
            <w:tcW w:type="dxa" w:w="1600"/>
            <w:tcBorders>
              <w:top w:val="single" w:color="D9E2EC" w:sz="4"/>
              <w:left w:val="single" w:color="D9E2EC" w:sz="4"/>
              <w:bottom w:val="single" w:color="D9E2EC" w:sz="4"/>
              <w:right w:val="single" w:color="D9E2EC" w:sz="4"/>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A1A1A"/>
                <w:sz w:val="19"/>
                <w:szCs w:val="19"/>
              </w:rPr>
              <w:t xml:space="preserve">Schwartz</w:t>
            </w:r>
          </w:p>
        </w:tc>
        <w:tc>
          <w:tcPr>
            <w:tcW w:type="dxa" w:w="2200"/>
            <w:tcBorders>
              <w:top w:val="single" w:color="D9E2EC" w:sz="4"/>
              <w:left w:val="single" w:color="D9E2EC" w:sz="4"/>
              <w:bottom w:val="single" w:color="D9E2EC" w:sz="4"/>
              <w:right w:val="single" w:color="D9E2EC" w:sz="4"/>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A1A1A"/>
                <w:sz w:val="19"/>
                <w:szCs w:val="19"/>
              </w:rPr>
              <w:t xml:space="preserve">Theoretically elegant; grounded in universal human values; individual and national versions available</w:t>
            </w:r>
          </w:p>
        </w:tc>
        <w:tc>
          <w:tcPr>
            <w:tcW w:type="dxa" w:w="2480"/>
            <w:tcBorders>
              <w:top w:val="single" w:color="D9E2EC" w:sz="4"/>
              <w:left w:val="single" w:color="D9E2EC" w:sz="4"/>
              <w:bottom w:val="single" w:color="D9E2EC" w:sz="4"/>
              <w:right w:val="single" w:color="D9E2EC" w:sz="4"/>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A1A1A"/>
                <w:sz w:val="19"/>
                <w:szCs w:val="19"/>
              </w:rPr>
              <w:t xml:space="preserve">Limited practitioner uptake; requires translation into business contexts</w:t>
            </w:r>
          </w:p>
        </w:tc>
        <w:tc>
          <w:tcPr>
            <w:tcW w:type="dxa" w:w="3080"/>
            <w:tcBorders>
              <w:top w:val="single" w:color="D9E2EC" w:sz="4"/>
              <w:left w:val="single" w:color="D9E2EC" w:sz="4"/>
              <w:bottom w:val="single" w:color="D9E2EC" w:sz="4"/>
              <w:right w:val="single" w:color="D9E2EC" w:sz="4"/>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A1A1A"/>
                <w:sz w:val="19"/>
                <w:szCs w:val="19"/>
              </w:rPr>
              <w:t xml:space="preserve">Anchors Identity (Autonomy, Embeddedness, Hierarchy) and Structure (Harmony) most strongly</w:t>
            </w:r>
          </w:p>
        </w:tc>
      </w:tr>
      <w:tr>
        <w:tc>
          <w:tcPr>
            <w:tcW w:type="dxa" w:w="1600"/>
            <w:tcBorders>
              <w:top w:val="single" w:color="D9E2EC" w:sz="4"/>
              <w:left w:val="single" w:color="D9E2EC" w:sz="4"/>
              <w:bottom w:val="single" w:color="D9E2EC" w:sz="4"/>
              <w:right w:val="single" w:color="D9E2EC" w:sz="4"/>
            </w:tcBorders>
            <w:shd w:fill="F7F9FC" w:val="clear"/>
            <w:tcMar>
              <w:top w:type="dxa" w:w="80"/>
              <w:left w:type="dxa" w:w="140"/>
              <w:bottom w:type="dxa" w:w="80"/>
              <w:right w:type="dxa" w:w="140"/>
            </w:tcMar>
            <w:vAlign w:val="top"/>
          </w:tcPr>
          <w:p>
            <w:pPr>
              <w:spacing w:after="0" w:before="0"/>
            </w:pPr>
            <w:r>
              <w:rPr>
                <w:rFonts w:ascii="Arial" w:cs="Arial" w:eastAsia="Arial" w:hAnsi="Arial"/>
                <w:b/>
                <w:bCs/>
                <w:color w:val="1A1A1A"/>
                <w:sz w:val="19"/>
                <w:szCs w:val="19"/>
              </w:rPr>
              <w:t xml:space="preserve">World Values Survey</w:t>
            </w:r>
          </w:p>
        </w:tc>
        <w:tc>
          <w:tcPr>
            <w:tcW w:type="dxa" w:w="2200"/>
            <w:tcBorders>
              <w:top w:val="single" w:color="D9E2EC" w:sz="4"/>
              <w:left w:val="single" w:color="D9E2EC" w:sz="4"/>
              <w:bottom w:val="single" w:color="D9E2EC" w:sz="4"/>
              <w:right w:val="single" w:color="D9E2EC" w:sz="4"/>
            </w:tcBorders>
            <w:shd w:fill="F7F9FC" w:val="clear"/>
            <w:tcMar>
              <w:top w:type="dxa" w:w="80"/>
              <w:left w:type="dxa" w:w="140"/>
              <w:bottom w:type="dxa" w:w="80"/>
              <w:right w:type="dxa" w:w="140"/>
            </w:tcMar>
            <w:vAlign w:val="top"/>
          </w:tcPr>
          <w:p>
            <w:pPr>
              <w:spacing w:after="0" w:before="0"/>
            </w:pPr>
            <w:r>
              <w:rPr>
                <w:rFonts w:ascii="Arial" w:cs="Arial" w:eastAsia="Arial" w:hAnsi="Arial"/>
                <w:b w:val="false"/>
                <w:bCs w:val="false"/>
                <w:color w:val="1A1A1A"/>
                <w:sz w:val="19"/>
                <w:szCs w:val="19"/>
              </w:rPr>
              <w:t xml:space="preserve">Largest global dataset; longitudinal tracking across decades; captures cultural change over time</w:t>
            </w:r>
          </w:p>
        </w:tc>
        <w:tc>
          <w:tcPr>
            <w:tcW w:type="dxa" w:w="2480"/>
            <w:tcBorders>
              <w:top w:val="single" w:color="D9E2EC" w:sz="4"/>
              <w:left w:val="single" w:color="D9E2EC" w:sz="4"/>
              <w:bottom w:val="single" w:color="D9E2EC" w:sz="4"/>
              <w:right w:val="single" w:color="D9E2EC" w:sz="4"/>
            </w:tcBorders>
            <w:shd w:fill="F7F9FC" w:val="clear"/>
            <w:tcMar>
              <w:top w:type="dxa" w:w="80"/>
              <w:left w:type="dxa" w:w="140"/>
              <w:bottom w:type="dxa" w:w="80"/>
              <w:right w:type="dxa" w:w="140"/>
            </w:tcMar>
            <w:vAlign w:val="top"/>
          </w:tcPr>
          <w:p>
            <w:pPr>
              <w:spacing w:after="0" w:before="0"/>
            </w:pPr>
            <w:r>
              <w:rPr>
                <w:rFonts w:ascii="Arial" w:cs="Arial" w:eastAsia="Arial" w:hAnsi="Arial"/>
                <w:b w:val="false"/>
                <w:bCs w:val="false"/>
                <w:color w:val="1A1A1A"/>
                <w:sz w:val="19"/>
                <w:szCs w:val="19"/>
              </w:rPr>
              <w:t xml:space="preserve">Not designed as a practitioner tool; dimensions can feel abstract without context</w:t>
            </w:r>
          </w:p>
        </w:tc>
        <w:tc>
          <w:tcPr>
            <w:tcW w:type="dxa" w:w="3080"/>
            <w:tcBorders>
              <w:top w:val="single" w:color="D9E2EC" w:sz="4"/>
              <w:left w:val="single" w:color="D9E2EC" w:sz="4"/>
              <w:bottom w:val="single" w:color="D9E2EC" w:sz="4"/>
              <w:right w:val="single" w:color="D9E2EC" w:sz="4"/>
            </w:tcBorders>
            <w:shd w:fill="F7F9FC" w:val="clear"/>
            <w:tcMar>
              <w:top w:type="dxa" w:w="80"/>
              <w:left w:type="dxa" w:w="140"/>
              <w:bottom w:type="dxa" w:w="80"/>
              <w:right w:type="dxa" w:w="140"/>
            </w:tcMar>
            <w:vAlign w:val="top"/>
          </w:tcPr>
          <w:p>
            <w:pPr>
              <w:spacing w:after="0" w:before="0"/>
            </w:pPr>
            <w:r>
              <w:rPr>
                <w:rFonts w:ascii="Arial" w:cs="Arial" w:eastAsia="Arial" w:hAnsi="Arial"/>
                <w:b w:val="false"/>
                <w:bCs w:val="false"/>
                <w:color w:val="1A1A1A"/>
                <w:sz w:val="19"/>
                <w:szCs w:val="19"/>
              </w:rPr>
              <w:t xml:space="preserve">Richest source for Identity (Choice, Equality, Voice, Autonomy); scepticism and defiance add unique coverage of social dissent</w:t>
            </w:r>
          </w:p>
        </w:tc>
      </w:tr>
      <w:tr>
        <w:tc>
          <w:tcPr>
            <w:tcW w:type="dxa" w:w="1600"/>
            <w:tcBorders>
              <w:top w:val="single" w:color="D9E2EC" w:sz="4"/>
              <w:left w:val="single" w:color="D9E2EC" w:sz="4"/>
              <w:bottom w:val="single" w:color="D9E2EC" w:sz="4"/>
              <w:right w:val="single" w:color="D9E2EC" w:sz="4"/>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A1A1A"/>
                <w:sz w:val="19"/>
                <w:szCs w:val="19"/>
              </w:rPr>
              <w:t xml:space="preserve">Trompenaars</w:t>
            </w:r>
          </w:p>
        </w:tc>
        <w:tc>
          <w:tcPr>
            <w:tcW w:type="dxa" w:w="2200"/>
            <w:tcBorders>
              <w:top w:val="single" w:color="D9E2EC" w:sz="4"/>
              <w:left w:val="single" w:color="D9E2EC" w:sz="4"/>
              <w:bottom w:val="single" w:color="D9E2EC" w:sz="4"/>
              <w:right w:val="single" w:color="D9E2EC" w:sz="4"/>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A1A1A"/>
                <w:sz w:val="19"/>
                <w:szCs w:val="19"/>
              </w:rPr>
              <w:t xml:space="preserve">Business-focused and accessible; widely used in consulting, coaching, and cross-cultural training</w:t>
            </w:r>
          </w:p>
        </w:tc>
        <w:tc>
          <w:tcPr>
            <w:tcW w:type="dxa" w:w="2480"/>
            <w:tcBorders>
              <w:top w:val="single" w:color="D9E2EC" w:sz="4"/>
              <w:left w:val="single" w:color="D9E2EC" w:sz="4"/>
              <w:bottom w:val="single" w:color="D9E2EC" w:sz="4"/>
              <w:right w:val="single" w:color="D9E2EC" w:sz="4"/>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A1A1A"/>
                <w:sz w:val="19"/>
                <w:szCs w:val="19"/>
              </w:rPr>
              <w:t xml:space="preserve">Smaller sample base; limited independent academic validation</w:t>
            </w:r>
          </w:p>
        </w:tc>
        <w:tc>
          <w:tcPr>
            <w:tcW w:type="dxa" w:w="3080"/>
            <w:tcBorders>
              <w:top w:val="single" w:color="D9E2EC" w:sz="4"/>
              <w:left w:val="single" w:color="D9E2EC" w:sz="4"/>
              <w:bottom w:val="single" w:color="D9E2EC" w:sz="4"/>
              <w:right w:val="single" w:color="D9E2EC" w:sz="4"/>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A1A1A"/>
                <w:sz w:val="19"/>
                <w:szCs w:val="19"/>
              </w:rPr>
              <w:t xml:space="preserve">All four Trompenaars dimensions load cleanly onto Identity — confirming their individualism–collectivism core</w:t>
            </w:r>
          </w:p>
        </w:tc>
      </w:tr>
    </w:tbl>
    <w:p>
      <w:pPr>
        <w:spacing w:after="200" w:before="0"/>
      </w:pPr>
      <w:r>
        <w:rPr>
          <w:rFonts w:ascii="Arial" w:cs="Arial" w:eastAsia="Arial" w:hAnsi="Arial"/>
        </w:rPr>
        <w:t xml:space="preserve"/>
      </w:r>
    </w:p>
    <w:p>
      <w:pPr>
        <w:spacing w:after="160" w:before="0"/>
      </w:pPr>
      <w:r>
        <w:rPr>
          <w:rFonts w:ascii="Arial" w:cs="Arial" w:eastAsia="Arial" w:hAnsi="Arial"/>
          <w:color w:val="1A1A1A"/>
          <w:sz w:val="22"/>
          <w:szCs w:val="22"/>
        </w:rPr>
        <w:t xml:space="preserve">The key distinction is methodological. Every source framework was built to validate a theory. Our framework was built to find what the theories agree on. That is a stronger empirical foundation — and a more honest starting point for understanding how culture actually works.</w:t>
      </w:r>
    </w:p>
    <w:p>
      <w:pPr>
        <w:spacing w:after="200" w:before="0"/>
      </w:pPr>
      <w:r>
        <w:rPr>
          <w:rFonts w:ascii="Arial" w:cs="Arial" w:eastAsia="Arial" w:hAnsi="Arial"/>
        </w:rPr>
        <w:t xml:space="preserve"/>
      </w:r>
    </w:p>
    <w:p>
      <w:pPr>
        <w:spacing w:after="80" w:before="360"/>
      </w:pPr>
      <w:r>
        <w:rPr>
          <w:rFonts w:ascii="Arial" w:cs="Arial" w:eastAsia="Arial" w:hAnsi="Arial"/>
          <w:b/>
          <w:bCs/>
          <w:caps/>
          <w:color w:val="C49A2C"/>
          <w:sz w:val="22"/>
          <w:szCs w:val="22"/>
        </w:rPr>
        <w:t xml:space="preserve">07  </w:t>
      </w:r>
      <w:r>
        <w:rPr>
          <w:rFonts w:ascii="Arial" w:cs="Arial" w:eastAsia="Arial" w:hAnsi="Arial"/>
          <w:b/>
          <w:bCs/>
          <w:color w:val="1B3A6B"/>
          <w:sz w:val="26"/>
          <w:szCs w:val="26"/>
        </w:rPr>
        <w:t xml:space="preserve">The Invitation</w:t>
      </w:r>
    </w:p>
    <w:p>
      <w:pPr>
        <w:pBdr>
          <w:bottom w:val="single" w:color="C49A2C" w:sz="16" w:space="0"/>
        </w:pBdr>
        <w:spacing w:after="160" w:before="0"/>
      </w:pPr>
    </w:p>
    <w:p>
      <w:pPr>
        <w:spacing w:after="160" w:before="0"/>
      </w:pPr>
      <w:r>
        <w:rPr>
          <w:rFonts w:ascii="Arial" w:cs="Arial" w:eastAsia="Arial" w:hAnsi="Arial"/>
          <w:color w:val="1A1A1A"/>
          <w:sz w:val="22"/>
          <w:szCs w:val="22"/>
        </w:rPr>
        <w:t xml:space="preserve">We are not asking you to abandon the cultural frameworks you already use, or to take our word for the four dimensions. We are inviting you to see whether a single, coherent language — grounded in more evidence than any individual framework — makes your cultural work clearer, faster, and more useful.</w:t>
      </w:r>
    </w:p>
    <w:p>
      <w:pPr>
        <w:spacing w:after="160" w:before="0"/>
      </w:pPr>
      <w:r>
        <w:rPr>
          <w:rFonts w:ascii="Arial" w:cs="Arial" w:eastAsia="Arial" w:hAnsi="Arial"/>
          <w:color w:val="1A1A1A"/>
          <w:sz w:val="22"/>
          <w:szCs w:val="22"/>
        </w:rPr>
        <w:t xml:space="preserve">The next step is to map your organisation, your key markets, or your leadership population against the four dimensions. What you find will not tell you what to think. It will tell you where to look.</w:t>
      </w:r>
    </w:p>
    <w:p>
      <w:pPr>
        <w:spacing w:after="100" w:before="0"/>
      </w:pPr>
      <w:r>
        <w:rPr>
          <w:rFonts w:ascii="Arial" w:cs="Arial" w:eastAsia="Arial" w:hAnsi="Arial"/>
        </w:rPr>
        <w:t xml:space="preserve"/>
      </w:r>
    </w:p>
    <w:p>
      <w:pPr>
        <w:spacing w:after="200" w:before="200"/>
        <w:jc w:val="center"/>
      </w:pPr>
      <w:r>
        <w:rPr>
          <w:rFonts w:ascii="Arial" w:cs="Arial" w:eastAsia="Arial" w:hAnsi="Arial"/>
          <w:b/>
          <w:bCs/>
          <w:color w:val="1B3A6B"/>
          <w:sz w:val="26"/>
          <w:szCs w:val="26"/>
        </w:rPr>
        <w:t xml:space="preserve">Identity. Expression. Structure. Drive.</w:t>
      </w:r>
    </w:p>
    <w:p>
      <w:pPr>
        <w:jc w:val="center"/>
      </w:pPr>
      <w:r>
        <w:rPr>
          <w:rFonts w:ascii="Arial" w:cs="Arial" w:eastAsia="Arial" w:hAnsi="Arial"/>
          <w:i/>
          <w:iCs/>
          <w:color w:val="C49A2C"/>
          <w:sz w:val="22"/>
          <w:szCs w:val="22"/>
        </w:rPr>
        <w:t xml:space="preserve">Four dimensions. Five frameworks. One clear language.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C" w:sz="6"/>
      </w:pBdr>
      <w:tabs>
        <w:tab w:val="right" w:pos="9026"/>
      </w:tabs>
    </w:pPr>
    <w:r>
      <w:rPr>
        <w:rFonts w:ascii="Arial" w:cs="Arial" w:eastAsia="Arial" w:hAnsi="Arial"/>
        <w:color w:val="D9E2EC"/>
        <w:sz w:val="16"/>
        <w:szCs w:val="16"/>
      </w:rPr>
      <w:t xml:space="preserve">© 2025  Confidential &amp; Proprietary</w:t>
    </w:r>
    <w:r>
      <w:rPr>
        <w:rFonts w:ascii="Arial" w:cs="Arial" w:eastAsia="Arial" w:hAnsi="Arial"/>
      </w:rPr>
      <w:t xml:space="preserve">	</w:t>
    </w:r>
    <w:r>
      <w:rPr>
        <w:rFonts w:ascii="Arial" w:cs="Arial" w:eastAsia="Arial" w:hAnsi="Arial"/>
        <w:color w:val="D9E2E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C" w:sz="6"/>
      </w:pBdr>
    </w:pPr>
    <w:r>
      <w:rPr>
        <w:rFonts w:ascii="Arial" w:cs="Arial" w:eastAsia="Arial" w:hAnsi="Arial"/>
        <w:b/>
        <w:bCs/>
        <w:color w:val="1B3A6B"/>
        <w:sz w:val="18"/>
        <w:szCs w:val="18"/>
      </w:rPr>
      <w:t xml:space="preserve">Cultural Intelligence Framework</w:t>
    </w:r>
    <w:r>
      <w:rPr>
        <w:rFonts w:ascii="Arial" w:cs="Arial" w:eastAsia="Arial" w:hAnsi="Arial"/>
        <w:color w:val="D9E2EC"/>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2026-05-22T21:03:58.891Z</dcterms:created>
  <dcterms:modified xsi:type="dcterms:W3CDTF">2026-05-22T21:03:58.892Z</dcterms:modified>
</cp:coreProperties>
</file>

<file path=docProps/custom.xml><?xml version="1.0" encoding="utf-8"?>
<Properties xmlns="http://schemas.openxmlformats.org/officeDocument/2006/custom-properties" xmlns:vt="http://schemas.openxmlformats.org/officeDocument/2006/docPropsVTypes"/>
</file>