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Corporate Furniture Rental Policy</w:t>
      </w:r>
    </w:p>
    <w:p>
      <w:pPr>
        <w:jc w:val="center"/>
      </w:pPr>
      <w:r>
        <w:rPr>
          <w:i/>
        </w:rPr>
        <w:t>RentOut Furniture Rental Operations</w:t>
      </w:r>
    </w:p>
    <w:p>
      <w:r>
        <w:t>Title: Corporate Furniture Rental Policy</w:t>
      </w:r>
    </w:p>
    <w:p>
      <w:r>
        <w:t>Document Type: policy</w:t>
      </w:r>
    </w:p>
    <w:p>
      <w:r>
        <w:t>Department: account_management</w:t>
      </w:r>
    </w:p>
    <w:p>
      <w:r>
        <w:t>Audience: corporate</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governs corporate rentals for offices, relocation programs, model apartments, temporary workspaces, and employee housing.</w:t>
      </w:r>
    </w:p>
    <w:p>
      <w:r>
        <w:t>Corporate rentals may include account-level pricing, purchase orders, named approvers, service-level expectations, and consolidated billing.</w:t>
      </w:r>
    </w:p>
    <w:p>
      <w:pPr>
        <w:pStyle w:val="Heading1"/>
      </w:pPr>
      <w:r>
        <w:t>Authorized Requesters</w:t>
      </w:r>
    </w:p>
    <w:p>
      <w:r>
        <w:t>Only authorized corporate contacts may place orders, approve swaps, request pickups, or modify billing instructions.</w:t>
      </w:r>
    </w:p>
    <w:p>
      <w:r>
        <w:t>Support agents must verify requester authority before making account-level changes.</w:t>
      </w:r>
    </w:p>
    <w:p>
      <w:pPr>
        <w:pStyle w:val="Heading1"/>
      </w:pPr>
      <w:r>
        <w:t>Service Scope</w:t>
      </w:r>
    </w:p>
    <w:p>
      <w:r>
        <w:t>Corporate service may include space planning, bundled room packages, staged delivery waves, installation coordination, and scheduled refresh cycles.</w:t>
      </w:r>
    </w:p>
    <w:p>
      <w:r>
        <w:t>Services outside the approved scope require written change approval from the corporate contact or account manager.</w:t>
      </w:r>
    </w:p>
    <w:p>
      <w:pPr>
        <w:pStyle w:val="Heading1"/>
      </w:pPr>
      <w:r>
        <w:t>Billing and Deposits</w:t>
      </w:r>
    </w:p>
    <w:p>
      <w:r>
        <w:t>Corporate accounts may use invoice billing, purchase order billing, card-on-file billing, or master account billing based on approved terms.</w:t>
      </w:r>
    </w:p>
    <w:p>
      <w:r>
        <w:t>Deposits may be waived or replaced with corporate guarantee terms when approved by Finance.</w:t>
      </w:r>
    </w:p>
    <w:p>
      <w:pPr>
        <w:pStyle w:val="Heading1"/>
      </w:pPr>
      <w:r>
        <w:t>Returns and Asset Tracking</w:t>
      </w:r>
    </w:p>
    <w:p>
      <w:r>
        <w:t>Corporate customers must maintain location records for rented assets and notify RentOut before moving items between sites.</w:t>
      </w:r>
    </w:p>
    <w:p>
      <w:r>
        <w:t>Bulk pickup requires item reconciliation against the corporate asset list.</w:t>
      </w:r>
    </w:p>
    <w:p>
      <w:pPr>
        <w:pStyle w:val="Heading1"/>
      </w:pPr>
      <w:r>
        <w:t>Examples</w:t>
      </w:r>
    </w:p>
    <w:p>
      <w:r>
        <w:t>A relocation provider may rent bedroom and living room sets for employees on six-month assignments.</w:t>
      </w:r>
    </w:p>
    <w:p>
      <w:r>
        <w:t>A startup may rent modular office furniture under a twelve-month corporate plan with quarterly refresh options.</w:t>
      </w:r>
    </w:p>
    <w:p>
      <w:pPr>
        <w:pStyle w:val="Heading1"/>
      </w:pPr>
      <w:r>
        <w:t>Escalation Rules</w:t>
      </w:r>
    </w:p>
    <w:p>
      <w:r>
        <w:t>Escalate unauthorized requester changes to Account Management.</w:t>
      </w:r>
    </w:p>
    <w:p>
      <w:r>
        <w:t>Escalate large corporate disputes, master agreement conflicts, or multi-site pickup failures to the assigned account manager.</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Corporate Furniture Rental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account_management</w:t>
            </w:r>
          </w:p>
        </w:tc>
      </w:tr>
      <w:tr>
        <w:tc>
          <w:tcPr>
            <w:tcW w:type="dxa" w:w="4896"/>
          </w:tcPr>
          <w:p>
            <w:r>
              <w:t>audience</w:t>
            </w:r>
          </w:p>
        </w:tc>
        <w:tc>
          <w:tcPr>
            <w:tcW w:type="dxa" w:w="4896"/>
          </w:tcPr>
          <w:p>
            <w:r>
              <w:t>corporate</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