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Furniture Damage and Repair Policy</w:t>
      </w:r>
    </w:p>
    <w:p>
      <w:pPr>
        <w:jc w:val="center"/>
      </w:pPr>
      <w:r>
        <w:rPr>
          <w:i/>
        </w:rPr>
        <w:t>RentOut Furniture Rental Operations</w:t>
      </w:r>
    </w:p>
    <w:p>
      <w:r>
        <w:t>Title: Furniture Damage and Repair Policy</w:t>
      </w:r>
    </w:p>
    <w:p>
      <w:r>
        <w:t>Document Type: policy</w:t>
      </w:r>
    </w:p>
    <w:p>
      <w:r>
        <w:t>Department: warehouse</w:t>
      </w:r>
    </w:p>
    <w:p>
      <w:r>
        <w:t>Audience: support_agent</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defines how RentOut distinguishes ordinary wear from chargeable damage and how repair decisions are documented.</w:t>
      </w:r>
    </w:p>
    <w:p>
      <w:r>
        <w:t>The policy supports consistent customer treatment and protects inventory quality across rental cycles.</w:t>
      </w:r>
    </w:p>
    <w:p>
      <w:pPr>
        <w:pStyle w:val="Heading1"/>
      </w:pPr>
      <w:r>
        <w:t>Ordinary Wear</w:t>
      </w:r>
    </w:p>
    <w:p>
      <w:r>
        <w:t>Ordinary wear includes light cushion compression, minor fabric softening, small surface marks consistent with normal use, and hardware loosening that can be corrected during routine maintenance.</w:t>
      </w:r>
    </w:p>
    <w:p>
      <w:r>
        <w:t>Ordinary wear should not create customer charges when the item was used as intended and returned with all required accessories.</w:t>
      </w:r>
    </w:p>
    <w:p>
      <w:pPr>
        <w:pStyle w:val="Heading1"/>
      </w:pPr>
      <w:r>
        <w:t>Chargeable Damage</w:t>
      </w:r>
    </w:p>
    <w:p>
      <w:r>
        <w:t>Chargeable damage includes deep stains, pet urine, burns, broken frames, missing parts, water swelling, unauthorized modifications, pest contamination, cracked glass, and structural damage caused by misuse.</w:t>
      </w:r>
    </w:p>
    <w:p>
      <w:r>
        <w:t>Damage charges must be supported by photos, inspection notes, repair estimates, or replacement records.</w:t>
      </w:r>
    </w:p>
    <w:p>
      <w:pPr>
        <w:pStyle w:val="Heading1"/>
      </w:pPr>
      <w:r>
        <w:t>Repair Decisioning</w:t>
      </w:r>
    </w:p>
    <w:p>
      <w:r>
        <w:t>Warehouse teams classify each item as return-to-stock, clean-only, repairable, parts-required, quarantine, or retire-and-replace.</w:t>
      </w:r>
    </w:p>
    <w:p>
      <w:r>
        <w:t>Items with suspected pest contamination, mold, biohazard exposure, or unsafe electrical components must be quarantined before any further handling.</w:t>
      </w:r>
    </w:p>
    <w:p>
      <w:pPr>
        <w:pStyle w:val="Heading1"/>
      </w:pPr>
      <w:r>
        <w:t>Customer Evidence Review</w:t>
      </w:r>
    </w:p>
    <w:p>
      <w:r>
        <w:t>Support agents should compare pickup photos, delivery photos, warehouse notes, and customer-provided evidence before confirming a charge.</w:t>
      </w:r>
    </w:p>
    <w:p>
      <w:r>
        <w:t>If the customer reported damage within forty-eight hours of delivery and evidence supports pre-existing damage, the claim should not be billed to the customer.</w:t>
      </w:r>
    </w:p>
    <w:p>
      <w:pPr>
        <w:pStyle w:val="Heading1"/>
      </w:pPr>
      <w:r>
        <w:t>Examples</w:t>
      </w:r>
    </w:p>
    <w:p>
      <w:r>
        <w:t>A dining table with faint surface scuffs may be ordinary wear. A dining table with a deep heat burn from a pan may be chargeable damage.</w:t>
      </w:r>
    </w:p>
    <w:p>
      <w:r>
        <w:t>A sofa with removable cushion wrinkles may be ordinary wear. A sofa with pet urine odor and staining may require cleaning or replacement charges.</w:t>
      </w:r>
    </w:p>
    <w:p>
      <w:pPr>
        <w:pStyle w:val="Heading1"/>
      </w:pPr>
      <w:r>
        <w:t>Escalation Rules</w:t>
      </w:r>
    </w:p>
    <w:p>
      <w:r>
        <w:t>Escalate any claim over 750 USD, pest contamination, biohazard handling, or disputed pre-existing damage to Warehouse Quality leadership.</w:t>
      </w:r>
    </w:p>
    <w:p>
      <w:r>
        <w:t>Escalate potential insurance claims to Risk Operations.</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Furniture Damage and Repair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warehouse</w:t>
            </w:r>
          </w:p>
        </w:tc>
      </w:tr>
      <w:tr>
        <w:tc>
          <w:tcPr>
            <w:tcW w:type="dxa" w:w="4896"/>
          </w:tcPr>
          <w:p>
            <w:r>
              <w:t>audience</w:t>
            </w:r>
          </w:p>
        </w:tc>
        <w:tc>
          <w:tcPr>
            <w:tcW w:type="dxa" w:w="4896"/>
          </w:tcPr>
          <w:p>
            <w:r>
              <w:t>support_agent</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