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Deposit and Refund Policy</w:t>
      </w:r>
    </w:p>
    <w:p>
      <w:pPr>
        <w:jc w:val="center"/>
      </w:pPr>
      <w:r>
        <w:rPr>
          <w:i/>
        </w:rPr>
        <w:t>RentOut Furniture Rental Operations</w:t>
      </w:r>
    </w:p>
    <w:p>
      <w:r>
        <w:t>Title: Deposit and Refund Policy</w:t>
      </w:r>
    </w:p>
    <w:p>
      <w:r>
        <w:t>Document Type: policy</w:t>
      </w:r>
    </w:p>
    <w:p>
      <w:r>
        <w:t>Department: finance</w:t>
      </w:r>
    </w:p>
    <w:p>
      <w:r>
        <w:t>Audience: customer</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explains when RentOut collects deposits, how deposits are applied, and when refunds are issued after pickup and inspection.</w:t>
      </w:r>
    </w:p>
    <w:p>
      <w:r>
        <w:t>The policy is designed to make deposit outcomes predictable while protecting RentOut from unpaid balances, missing items, and chargeable damage.</w:t>
      </w:r>
    </w:p>
    <w:p>
      <w:pPr>
        <w:pStyle w:val="Heading1"/>
      </w:pPr>
      <w:r>
        <w:t>Deposit Collection</w:t>
      </w:r>
    </w:p>
    <w:p>
      <w:r>
        <w:t>A refundable deposit may be collected before delivery based on customer profile, rental value, plan duration, location, and prior account history.</w:t>
      </w:r>
    </w:p>
    <w:p>
      <w:r>
        <w:t>Corporate customers may satisfy deposit requirements through an approved corporate guarantee or purchase order if Finance has approved the account terms.</w:t>
      </w:r>
    </w:p>
    <w:p>
      <w:pPr>
        <w:pStyle w:val="Heading1"/>
      </w:pPr>
      <w:r>
        <w:t>Refund Eligibility</w:t>
      </w:r>
    </w:p>
    <w:p>
      <w:r>
        <w:t>Deposits are refundable after all rented items are returned, inspected, and reconciled against the account ledger.</w:t>
      </w:r>
    </w:p>
    <w:p>
      <w:r>
        <w:t>Refunds may be reduced by unpaid rent, late fees, missed pickup fees, missing accessories, cleaning charges, repair costs, or replacement costs for items beyond economical repair.</w:t>
      </w:r>
    </w:p>
    <w:p>
      <w:pPr>
        <w:pStyle w:val="Heading1"/>
      </w:pPr>
      <w:r>
        <w:t>Inspection Timeline</w:t>
      </w:r>
    </w:p>
    <w:p>
      <w:r>
        <w:t>RentOut targets deposit review within seven business days after successful pickup. Complex claims, missing item investigations, or third-party repair estimates may extend the review period.</w:t>
      </w:r>
    </w:p>
    <w:p>
      <w:r>
        <w:t>Customers should receive a refund decision or claim notice once inspection is complete.</w:t>
      </w:r>
    </w:p>
    <w:p>
      <w:pPr>
        <w:pStyle w:val="Heading1"/>
      </w:pPr>
      <w:r>
        <w:t>Customer Disputes</w:t>
      </w:r>
    </w:p>
    <w:p>
      <w:r>
        <w:t>Customers may dispute a deposit deduction by providing photos, delivery notes, chat records, or other evidence within ten business days of the deduction notice.</w:t>
      </w:r>
    </w:p>
    <w:p>
      <w:r>
        <w:t>Support agents should compare the dispute evidence against delivery photos, pickup photos, warehouse inspection notes, and maintenance records.</w:t>
      </w:r>
    </w:p>
    <w:p>
      <w:pPr>
        <w:pStyle w:val="Heading1"/>
      </w:pPr>
      <w:r>
        <w:t>Examples</w:t>
      </w:r>
    </w:p>
    <w:p>
      <w:r>
        <w:t>If a sofa is returned with normal cushion compression and no stains, no damage deduction should be applied.</w:t>
      </w:r>
    </w:p>
    <w:p>
      <w:r>
        <w:t>If a dining chair is missing two legs due to customer disassembly, repair or replacement costs may be deducted from the deposit.</w:t>
      </w:r>
    </w:p>
    <w:p>
      <w:pPr>
        <w:pStyle w:val="Heading1"/>
      </w:pPr>
      <w:r>
        <w:t>Escalation Rules</w:t>
      </w:r>
    </w:p>
    <w:p>
      <w:r>
        <w:t>Escalate refund disputes above 500 USD or involving legal threats to Finance Operations.</w:t>
      </w:r>
    </w:p>
    <w:p>
      <w:r>
        <w:t>Escalate claims involving suspected fraud, chargebacks, or identity mismatch to Risk Operations.</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Deposit and Refund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finance</w:t>
            </w:r>
          </w:p>
        </w:tc>
      </w:tr>
      <w:tr>
        <w:tc>
          <w:tcPr>
            <w:tcW w:type="dxa" w:w="4896"/>
          </w:tcPr>
          <w:p>
            <w:r>
              <w:t>audience</w:t>
            </w:r>
          </w:p>
        </w:tc>
        <w:tc>
          <w:tcPr>
            <w:tcW w:type="dxa" w:w="4896"/>
          </w:tcPr>
          <w:p>
            <w:r>
              <w:t>customer</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