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D77"/>
        </w:rPr>
        <w:t>Privacy and Customer Data Handling Policy</w:t>
      </w:r>
    </w:p>
    <w:p>
      <w:pPr>
        <w:jc w:val="center"/>
      </w:pPr>
      <w:r>
        <w:rPr>
          <w:i/>
        </w:rPr>
        <w:t>RentOut Furniture Rental Operations</w:t>
      </w:r>
    </w:p>
    <w:p>
      <w:r>
        <w:t>Title: Privacy and Customer Data Handling Policy</w:t>
      </w:r>
    </w:p>
    <w:p>
      <w:r>
        <w:t>Document Type: policy</w:t>
      </w:r>
    </w:p>
    <w:p>
      <w:r>
        <w:t>Department: security</w:t>
      </w:r>
    </w:p>
    <w:p>
      <w:r>
        <w:t>Audience: internal</w:t>
      </w:r>
    </w:p>
    <w:p>
      <w:r>
        <w:t>Version: v1.0</w:t>
      </w:r>
    </w:p>
    <w:p>
      <w:r>
        <w:t>Effective Date: 2026-01-01</w:t>
      </w:r>
    </w:p>
    <w:p>
      <w:r>
        <w:rPr>
          <w:b/>
          <w:color w:val="006D77"/>
        </w:rPr>
        <w:t xml:space="preserve">Document Use: </w:t>
      </w:r>
      <w:r>
        <w:t>This document is part of the RentOut RAG chatbot corpus. It contains detailed operational language, metadata, examples, and escalation rules so retrieval can use both semantic meaning and structured source attributes.</w:t>
      </w:r>
    </w:p>
    <w:p>
      <w:pPr>
        <w:pStyle w:val="Heading1"/>
      </w:pPr>
      <w:r>
        <w:t>Purpose</w:t>
      </w:r>
    </w:p>
    <w:p>
      <w:r>
        <w:t>This policy defines how RentOut teams handle customer personal data in support, operations, billing, delivery, and account management workflows.</w:t>
      </w:r>
    </w:p>
    <w:p>
      <w:r>
        <w:t>It protects customer trust and limits unnecessary exposure of sensitive information.</w:t>
      </w:r>
    </w:p>
    <w:p>
      <w:pPr>
        <w:pStyle w:val="Heading1"/>
      </w:pPr>
      <w:r>
        <w:t>Permitted Data Use</w:t>
      </w:r>
    </w:p>
    <w:p>
      <w:r>
        <w:t>Customer data may be used to process orders, schedule delivery, verify account ownership, manage billing, resolve disputes, prevent fraud, and comply with legal obligations.</w:t>
      </w:r>
    </w:p>
    <w:p>
      <w:r>
        <w:t>Employees should access only the information needed for the current task.</w:t>
      </w:r>
    </w:p>
    <w:p>
      <w:pPr>
        <w:pStyle w:val="Heading1"/>
      </w:pPr>
      <w:r>
        <w:t>Restricted Data</w:t>
      </w:r>
    </w:p>
    <w:p>
      <w:r>
        <w:t>Payment card numbers, identity documents, access codes, building entry instructions, and sensitive complaint details must be handled with extra care.</w:t>
      </w:r>
    </w:p>
    <w:p>
      <w:r>
        <w:t>Support agents must not paste full payment details, identity documents, or access codes into unsecured notes or external tools.</w:t>
      </w:r>
    </w:p>
    <w:p>
      <w:pPr>
        <w:pStyle w:val="Heading1"/>
      </w:pPr>
      <w:r>
        <w:t>Customer Verification</w:t>
      </w:r>
    </w:p>
    <w:p>
      <w:r>
        <w:t>Before discussing account details, agents should verify the requester using approved identifiers such as account email, order ID, phone verification, or corporate authorized contact status.</w:t>
      </w:r>
    </w:p>
    <w:p>
      <w:r>
        <w:t>Corporate account changes require requester authority verification.</w:t>
      </w:r>
    </w:p>
    <w:p>
      <w:pPr>
        <w:pStyle w:val="Heading1"/>
      </w:pPr>
      <w:r>
        <w:t>Retention and Logs</w:t>
      </w:r>
    </w:p>
    <w:p>
      <w:r>
        <w:t>Operational notes should be factual, minimal, and relevant. Do not include unnecessary personal commentary or unrelated sensitive details.</w:t>
      </w:r>
    </w:p>
    <w:p>
      <w:r>
        <w:t>Audit logs should record the action taken, policy basis, and responsible user without duplicating sensitive content unless required.</w:t>
      </w:r>
    </w:p>
    <w:p>
      <w:pPr>
        <w:pStyle w:val="Heading1"/>
      </w:pPr>
      <w:r>
        <w:t>Examples</w:t>
      </w:r>
    </w:p>
    <w:p>
      <w:r>
        <w:t>It is acceptable to note that a customer requested pickup due to relocation. It is not acceptable to include unrelated medical details unless required for an approved exception.</w:t>
      </w:r>
    </w:p>
    <w:p>
      <w:r>
        <w:t>A building gate code should be stored only in approved delivery instructions, not copied into free-form chat notes.</w:t>
      </w:r>
    </w:p>
    <w:p>
      <w:pPr>
        <w:pStyle w:val="Heading1"/>
      </w:pPr>
      <w:r>
        <w:t>Escalation Rules</w:t>
      </w:r>
    </w:p>
    <w:p>
      <w:r>
        <w:t>Escalate suspected data exposure, unauthorized access, or account takeover concerns to Security Operations.</w:t>
      </w:r>
    </w:p>
    <w:p>
      <w:r>
        <w:t>Escalate legal data requests to Legal Operations.</w:t>
      </w:r>
    </w:p>
    <w:p>
      <w:pPr>
        <w:pStyle w:val="Heading1"/>
      </w:pPr>
      <w:r>
        <w:t>Metadata for Retrieval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title</w:t>
            </w:r>
          </w:p>
        </w:tc>
        <w:tc>
          <w:tcPr>
            <w:tcW w:type="dxa" w:w="4896"/>
          </w:tcPr>
          <w:p>
            <w:r>
              <w:t>Privacy and Customer Data Handling Policy</w:t>
            </w:r>
          </w:p>
        </w:tc>
      </w:tr>
      <w:tr>
        <w:tc>
          <w:tcPr>
            <w:tcW w:type="dxa" w:w="4896"/>
          </w:tcPr>
          <w:p>
            <w:r>
              <w:t>document_type</w:t>
            </w:r>
          </w:p>
        </w:tc>
        <w:tc>
          <w:tcPr>
            <w:tcW w:type="dxa" w:w="4896"/>
          </w:tcPr>
          <w:p>
            <w:r>
              <w:t>policy</w:t>
            </w:r>
          </w:p>
        </w:tc>
      </w:tr>
      <w:tr>
        <w:tc>
          <w:tcPr>
            <w:tcW w:type="dxa" w:w="4896"/>
          </w:tcPr>
          <w:p>
            <w:r>
              <w:t>department</w:t>
            </w:r>
          </w:p>
        </w:tc>
        <w:tc>
          <w:tcPr>
            <w:tcW w:type="dxa" w:w="4896"/>
          </w:tcPr>
          <w:p>
            <w:r>
              <w:t>security</w:t>
            </w:r>
          </w:p>
        </w:tc>
      </w:tr>
      <w:tr>
        <w:tc>
          <w:tcPr>
            <w:tcW w:type="dxa" w:w="4896"/>
          </w:tcPr>
          <w:p>
            <w:r>
              <w:t>audience</w:t>
            </w:r>
          </w:p>
        </w:tc>
        <w:tc>
          <w:tcPr>
            <w:tcW w:type="dxa" w:w="4896"/>
          </w:tcPr>
          <w:p>
            <w:r>
              <w:t>internal</w:t>
            </w:r>
          </w:p>
        </w:tc>
      </w:tr>
      <w:tr>
        <w:tc>
          <w:tcPr>
            <w:tcW w:type="dxa" w:w="4896"/>
          </w:tcPr>
          <w:p>
            <w:r>
              <w:t>version</w:t>
            </w:r>
          </w:p>
        </w:tc>
        <w:tc>
          <w:tcPr>
            <w:tcW w:type="dxa" w:w="4896"/>
          </w:tcPr>
          <w:p>
            <w:r>
              <w:t>v1.0</w:t>
            </w:r>
          </w:p>
        </w:tc>
      </w:tr>
      <w:tr>
        <w:tc>
          <w:tcPr>
            <w:tcW w:type="dxa" w:w="4896"/>
          </w:tcPr>
          <w:p>
            <w:r>
              <w:t>effective_date</w:t>
            </w:r>
          </w:p>
        </w:tc>
        <w:tc>
          <w:tcPr>
            <w:tcW w:type="dxa" w:w="4896"/>
          </w:tcPr>
          <w:p>
            <w:r>
              <w:t>2026-01-01</w:t>
            </w:r>
          </w:p>
        </w:tc>
      </w:tr>
    </w:tbl>
    <w:p>
      <w:pPr>
        <w:pStyle w:val="Heading1"/>
      </w:pPr>
      <w:r>
        <w:t>Version History</w:t>
      </w:r>
    </w:p>
    <w:p>
      <w:r>
        <w:t>v1.0 - Initial RentOut RAG deployment corpus version, effective 2026-01-01.</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D7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