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6D77"/>
        </w:rPr>
        <w:t>Product Care Guide</w:t>
      </w:r>
    </w:p>
    <w:p>
      <w:pPr>
        <w:jc w:val="center"/>
      </w:pPr>
      <w:r>
        <w:rPr>
          <w:i/>
        </w:rPr>
        <w:t>RentOut Furniture Rental Operations</w:t>
      </w:r>
    </w:p>
    <w:p>
      <w:r>
        <w:t>Title: Product Care Guide</w:t>
      </w:r>
    </w:p>
    <w:p>
      <w:r>
        <w:t>Document Type: guide</w:t>
      </w:r>
    </w:p>
    <w:p>
      <w:r>
        <w:t>Department: support</w:t>
      </w:r>
    </w:p>
    <w:p>
      <w:r>
        <w:t>Audience: customer</w:t>
      </w:r>
    </w:p>
    <w:p>
      <w:r>
        <w:t>Version: v1.0</w:t>
      </w:r>
    </w:p>
    <w:p>
      <w:r>
        <w:t>Effective Date: 2026-01-01</w:t>
      </w:r>
    </w:p>
    <w:p>
      <w:r>
        <w:rPr>
          <w:b/>
          <w:color w:val="006D77"/>
        </w:rPr>
        <w:t xml:space="preserve">Document Use: </w:t>
      </w:r>
      <w:r>
        <w:t>This document is part of the RentOut RAG chatbot corpus. It contains detailed operational language, metadata, examples, and escalation rules so retrieval can use both semantic meaning and structured source attributes.</w:t>
      </w:r>
    </w:p>
    <w:p>
      <w:pPr>
        <w:pStyle w:val="Heading1"/>
      </w:pPr>
      <w:r>
        <w:t>Purpose</w:t>
      </w:r>
    </w:p>
    <w:p>
      <w:r>
        <w:t>This guide gives customers practical care instructions for rented furniture so items remain safe, clean, and returnable.</w:t>
      </w:r>
    </w:p>
    <w:p>
      <w:r>
        <w:t>Following this guide reduces avoidable damage claims and improves customer experience.</w:t>
      </w:r>
    </w:p>
    <w:p>
      <w:pPr>
        <w:pStyle w:val="Heading1"/>
      </w:pPr>
      <w:r>
        <w:t>Fabric Upholstery</w:t>
      </w:r>
    </w:p>
    <w:p>
      <w:r>
        <w:t>Vacuum fabric upholstery regularly using a soft brush attachment. Blot spills immediately with a clean dry cloth and avoid rubbing, which can spread stains.</w:t>
      </w:r>
    </w:p>
    <w:p>
      <w:r>
        <w:t>Do not use bleach, harsh solvents, steam cleaners, or unapproved stain removers on RentOut fabric items.</w:t>
      </w:r>
    </w:p>
    <w:p>
      <w:pPr>
        <w:pStyle w:val="Heading1"/>
      </w:pPr>
      <w:r>
        <w:t>Leather and Faux Leather</w:t>
      </w:r>
    </w:p>
    <w:p>
      <w:r>
        <w:t>Wipe leather and faux leather with a soft dry or slightly damp cloth. Keep items away from direct heat and prolonged sunlight.</w:t>
      </w:r>
    </w:p>
    <w:p>
      <w:r>
        <w:t>Do not apply oils, conditioners, dyes, or adhesive patches unless RentOut support provides written approval.</w:t>
      </w:r>
    </w:p>
    <w:p>
      <w:pPr>
        <w:pStyle w:val="Heading1"/>
      </w:pPr>
      <w:r>
        <w:t>Wood and Veneer</w:t>
      </w:r>
    </w:p>
    <w:p>
      <w:r>
        <w:t>Use coasters, placemats, and protective pads. Avoid placing hot cookware, wet planters, candles, or adhesive hooks directly on wood surfaces.</w:t>
      </w:r>
    </w:p>
    <w:p>
      <w:r>
        <w:t>Clean with a dry or slightly damp cloth. Excess water can cause swelling, discoloration, or veneer lifting.</w:t>
      </w:r>
    </w:p>
    <w:p>
      <w:pPr>
        <w:pStyle w:val="Heading1"/>
      </w:pPr>
      <w:r>
        <w:t>Mattresses and Soft Goods</w:t>
      </w:r>
    </w:p>
    <w:p>
      <w:r>
        <w:t>Customers should use mattress protectors when provided or recommended. Stains, pest exposure, smoke odor, or biological contamination may make soft goods non-returnable.</w:t>
      </w:r>
    </w:p>
    <w:p>
      <w:r>
        <w:t>Do not remove law labels, covers, zippers, or tags from soft goods.</w:t>
      </w:r>
    </w:p>
    <w:p>
      <w:pPr>
        <w:pStyle w:val="Heading1"/>
      </w:pPr>
      <w:r>
        <w:t>Examples</w:t>
      </w:r>
    </w:p>
    <w:p>
      <w:r>
        <w:t>A water ring from a cup may be preventable by using coasters and may be chargeable if it requires refinishing.</w:t>
      </w:r>
    </w:p>
    <w:p>
      <w:r>
        <w:t>A small removable lint mark on fabric is usually ordinary cleaning, not damage.</w:t>
      </w:r>
    </w:p>
    <w:p>
      <w:pPr>
        <w:pStyle w:val="Heading1"/>
      </w:pPr>
      <w:r>
        <w:t>Escalation Rules</w:t>
      </w:r>
    </w:p>
    <w:p>
      <w:r>
        <w:t>Escalate care questions involving chemical exposure, pest contamination, smoke odor, or suspected mold to Support Leadership.</w:t>
      </w:r>
    </w:p>
    <w:p>
      <w:r>
        <w:t>Escalate safety issues involving electrical items to Maintenance Operations.</w:t>
      </w:r>
    </w:p>
    <w:p>
      <w:pPr>
        <w:pStyle w:val="Heading1"/>
      </w:pPr>
      <w:r>
        <w:t>Metadata for Retrieval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title</w:t>
            </w:r>
          </w:p>
        </w:tc>
        <w:tc>
          <w:tcPr>
            <w:tcW w:type="dxa" w:w="4896"/>
          </w:tcPr>
          <w:p>
            <w:r>
              <w:t>Product Care Guide</w:t>
            </w:r>
          </w:p>
        </w:tc>
      </w:tr>
      <w:tr>
        <w:tc>
          <w:tcPr>
            <w:tcW w:type="dxa" w:w="4896"/>
          </w:tcPr>
          <w:p>
            <w:r>
              <w:t>document_type</w:t>
            </w:r>
          </w:p>
        </w:tc>
        <w:tc>
          <w:tcPr>
            <w:tcW w:type="dxa" w:w="4896"/>
          </w:tcPr>
          <w:p>
            <w:r>
              <w:t>guide</w:t>
            </w:r>
          </w:p>
        </w:tc>
      </w:tr>
      <w:tr>
        <w:tc>
          <w:tcPr>
            <w:tcW w:type="dxa" w:w="4896"/>
          </w:tcPr>
          <w:p>
            <w:r>
              <w:t>department</w:t>
            </w:r>
          </w:p>
        </w:tc>
        <w:tc>
          <w:tcPr>
            <w:tcW w:type="dxa" w:w="4896"/>
          </w:tcPr>
          <w:p>
            <w:r>
              <w:t>support</w:t>
            </w:r>
          </w:p>
        </w:tc>
      </w:tr>
      <w:tr>
        <w:tc>
          <w:tcPr>
            <w:tcW w:type="dxa" w:w="4896"/>
          </w:tcPr>
          <w:p>
            <w:r>
              <w:t>audience</w:t>
            </w:r>
          </w:p>
        </w:tc>
        <w:tc>
          <w:tcPr>
            <w:tcW w:type="dxa" w:w="4896"/>
          </w:tcPr>
          <w:p>
            <w:r>
              <w:t>customer</w:t>
            </w:r>
          </w:p>
        </w:tc>
      </w:tr>
      <w:tr>
        <w:tc>
          <w:tcPr>
            <w:tcW w:type="dxa" w:w="4896"/>
          </w:tcPr>
          <w:p>
            <w:r>
              <w:t>version</w:t>
            </w:r>
          </w:p>
        </w:tc>
        <w:tc>
          <w:tcPr>
            <w:tcW w:type="dxa" w:w="4896"/>
          </w:tcPr>
          <w:p>
            <w:r>
              <w:t>v1.0</w:t>
            </w:r>
          </w:p>
        </w:tc>
      </w:tr>
      <w:tr>
        <w:tc>
          <w:tcPr>
            <w:tcW w:type="dxa" w:w="4896"/>
          </w:tcPr>
          <w:p>
            <w:r>
              <w:t>effective_date</w:t>
            </w:r>
          </w:p>
        </w:tc>
        <w:tc>
          <w:tcPr>
            <w:tcW w:type="dxa" w:w="4896"/>
          </w:tcPr>
          <w:p>
            <w:r>
              <w:t>2026-01-01</w:t>
            </w:r>
          </w:p>
        </w:tc>
      </w:tr>
    </w:tbl>
    <w:p>
      <w:pPr>
        <w:pStyle w:val="Heading1"/>
      </w:pPr>
      <w:r>
        <w:t>Version History</w:t>
      </w:r>
    </w:p>
    <w:p>
      <w:r>
        <w:t>v1.0 - Initial RentOut RAG deployment corpus version, effective 2026-01-01.</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D7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