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RentOut Rental Agreement</w:t>
      </w:r>
    </w:p>
    <w:p>
      <w:pPr>
        <w:jc w:val="center"/>
      </w:pPr>
      <w:r>
        <w:rPr>
          <w:i/>
        </w:rPr>
        <w:t>RentOut Furniture Rental Operations</w:t>
      </w:r>
    </w:p>
    <w:p>
      <w:r>
        <w:t>Title: RentOut Rental Agreement</w:t>
      </w:r>
    </w:p>
    <w:p>
      <w:r>
        <w:t>Document Type: agreement</w:t>
      </w:r>
    </w:p>
    <w:p>
      <w:r>
        <w:t>Department: legal</w:t>
      </w:r>
    </w:p>
    <w:p>
      <w:r>
        <w:t>Audience: customer</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agreement defines the baseline obligations between RentOut and a customer renting residential furniture, decor, office furniture, or bundled room packages.</w:t>
      </w:r>
    </w:p>
    <w:p>
      <w:r>
        <w:t>It applies to standard monthly rentals, flexible subscription rentals, short-term staging rentals, and approved corporate rentals unless a signed master services agreement overrides these terms.</w:t>
      </w:r>
    </w:p>
    <w:p>
      <w:pPr>
        <w:pStyle w:val="Heading1"/>
      </w:pPr>
      <w:r>
        <w:t>Customer Responsibilities</w:t>
      </w:r>
    </w:p>
    <w:p>
      <w:r>
        <w:t>Customers must provide accurate delivery information, maintain safe access to the delivery location, use furniture for ordinary indoor purposes, and notify RentOut within forty-eight hours of delivery if an item arrives damaged or incorrect.</w:t>
      </w:r>
    </w:p>
    <w:p>
      <w:r>
        <w:t>Customers must not sell, sublease, pledge, modify, repaint, reupholster, or permanently alter RentOut furniture. Temporary protective covers are allowed when they do not damage fabric, wood, leather, metal, or electrical components.</w:t>
      </w:r>
    </w:p>
    <w:p>
      <w:r>
        <w:t>Customers are responsible for keeping items in climate-controlled indoor spaces unless the product page explicitly identifies the item as outdoor-rated.</w:t>
      </w:r>
    </w:p>
    <w:p>
      <w:pPr>
        <w:pStyle w:val="Heading1"/>
      </w:pPr>
      <w:r>
        <w:t>Rental Term and Renewal</w:t>
      </w:r>
    </w:p>
    <w:p>
      <w:r>
        <w:t>The initial rental term begins on the confirmed delivery date and continues for the selected plan duration. Monthly plans renew automatically until cancelled through the approved cancellation process.</w:t>
      </w:r>
    </w:p>
    <w:p>
      <w:r>
        <w:t>Fixed-term plans may convert to month-to-month at the end of the minimum term when the account is current and the rented items remain available for continued rental.</w:t>
      </w:r>
    </w:p>
    <w:p>
      <w:pPr>
        <w:pStyle w:val="Heading1"/>
      </w:pPr>
      <w:r>
        <w:t>Ownership and Restrictions</w:t>
      </w:r>
    </w:p>
    <w:p>
      <w:r>
        <w:t>All rented items remain property of RentOut unless the customer exercises an approved purchase option. The customer receives temporary possession, not ownership.</w:t>
      </w:r>
    </w:p>
    <w:p>
      <w:r>
        <w:t>RentOut may request confirmation of item location when fraud, loss, unpaid balance, or unauthorized relocation is suspected.</w:t>
      </w:r>
    </w:p>
    <w:p>
      <w:pPr>
        <w:pStyle w:val="Heading1"/>
      </w:pPr>
      <w:r>
        <w:t>Examples</w:t>
      </w:r>
    </w:p>
    <w:p>
      <w:r>
        <w:t>A customer renting a dining set for six months may use it for normal household meals but may not sand, stain, or resize the table.</w:t>
      </w:r>
    </w:p>
    <w:p>
      <w:r>
        <w:t>A customer moving to a new apartment must request relocation support instead of independently moving large rented items when the plan requires RentOut pickup and redelivery.</w:t>
      </w:r>
    </w:p>
    <w:p>
      <w:pPr>
        <w:pStyle w:val="Heading1"/>
      </w:pPr>
      <w:r>
        <w:t>Escalation Rules</w:t>
      </w:r>
    </w:p>
    <w:p>
      <w:r>
        <w:t>Escalate to Legal Operations when a customer disputes ownership, refuses return access, reports theft, or claims a third party has taken possession of RentOut property.</w:t>
      </w:r>
    </w:p>
    <w:p>
      <w:r>
        <w:t>Escalate to Support Leadership when a customer asks for exception approval beyond standard cancellation, relocation, or damage rules.</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RentOut Rental Agreement</w:t>
            </w:r>
          </w:p>
        </w:tc>
      </w:tr>
      <w:tr>
        <w:tc>
          <w:tcPr>
            <w:tcW w:type="dxa" w:w="4896"/>
          </w:tcPr>
          <w:p>
            <w:r>
              <w:t>document_type</w:t>
            </w:r>
          </w:p>
        </w:tc>
        <w:tc>
          <w:tcPr>
            <w:tcW w:type="dxa" w:w="4896"/>
          </w:tcPr>
          <w:p>
            <w:r>
              <w:t>agreement</w:t>
            </w:r>
          </w:p>
        </w:tc>
      </w:tr>
      <w:tr>
        <w:tc>
          <w:tcPr>
            <w:tcW w:type="dxa" w:w="4896"/>
          </w:tcPr>
          <w:p>
            <w:r>
              <w:t>department</w:t>
            </w:r>
          </w:p>
        </w:tc>
        <w:tc>
          <w:tcPr>
            <w:tcW w:type="dxa" w:w="4896"/>
          </w:tcPr>
          <w:p>
            <w:r>
              <w:t>legal</w:t>
            </w:r>
          </w:p>
        </w:tc>
      </w:tr>
      <w:tr>
        <w:tc>
          <w:tcPr>
            <w:tcW w:type="dxa" w:w="4896"/>
          </w:tcPr>
          <w:p>
            <w:r>
              <w:t>audience</w:t>
            </w:r>
          </w:p>
        </w:tc>
        <w:tc>
          <w:tcPr>
            <w:tcW w:type="dxa" w:w="4896"/>
          </w:tcPr>
          <w:p>
            <w:r>
              <w:t>customer</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