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Subscription Plans and Billing Policy</w:t>
      </w:r>
    </w:p>
    <w:p>
      <w:pPr>
        <w:jc w:val="center"/>
      </w:pPr>
      <w:r>
        <w:rPr>
          <w:i/>
        </w:rPr>
        <w:t>RentOut Furniture Rental Operations</w:t>
      </w:r>
    </w:p>
    <w:p>
      <w:r>
        <w:t>Title: Subscription Plans and Billing Policy</w:t>
      </w:r>
    </w:p>
    <w:p>
      <w:r>
        <w:t>Document Type: policy</w:t>
      </w:r>
    </w:p>
    <w:p>
      <w:r>
        <w:t>Department: finance</w:t>
      </w:r>
    </w:p>
    <w:p>
      <w:r>
        <w:t>Audience: customer</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policy explains how RentOut bills monthly furniture subscriptions, fixed-term plans, plan upgrades, plan downgrades, and failed payments.</w:t>
      </w:r>
    </w:p>
    <w:p>
      <w:r>
        <w:t>It helps agents answer questions consistently while protecting revenue recognition and customer transparency.</w:t>
      </w:r>
    </w:p>
    <w:p>
      <w:pPr>
        <w:pStyle w:val="Heading1"/>
      </w:pPr>
      <w:r>
        <w:t>Billing Cycle</w:t>
      </w:r>
    </w:p>
    <w:p>
      <w:r>
        <w:t>Monthly subscription charges are billed in advance for the upcoming rental period. The billing date is based on the delivery date unless otherwise specified in the customer agreement.</w:t>
      </w:r>
    </w:p>
    <w:p>
      <w:r>
        <w:t>Fixed-term plans may have minimum commitment periods, promotional rates, or early termination terms shown at checkout or in the signed quote.</w:t>
      </w:r>
    </w:p>
    <w:p>
      <w:pPr>
        <w:pStyle w:val="Heading1"/>
      </w:pPr>
      <w:r>
        <w:t>Plan Changes</w:t>
      </w:r>
    </w:p>
    <w:p>
      <w:r>
        <w:t>Customers may request upgrades, item swaps, or plan extensions through the portal or support team. Pricing changes begin when the new item or plan takes effect.</w:t>
      </w:r>
    </w:p>
    <w:p>
      <w:r>
        <w:t>Downgrades may be limited during minimum commitment periods or when the requested change requires pickup, redelivery, or warehouse handling.</w:t>
      </w:r>
    </w:p>
    <w:p>
      <w:pPr>
        <w:pStyle w:val="Heading1"/>
      </w:pPr>
      <w:r>
        <w:t>Failed Payments</w:t>
      </w:r>
    </w:p>
    <w:p>
      <w:r>
        <w:t>When a payment fails, RentOut may retry payment, notify the customer, pause optional services, assess late fees, or begin collections workflows according to account status.</w:t>
      </w:r>
    </w:p>
    <w:p>
      <w:r>
        <w:t>Support agents should never promise fee waivers without checking eligibility and approval rules.</w:t>
      </w:r>
    </w:p>
    <w:p>
      <w:pPr>
        <w:pStyle w:val="Heading1"/>
      </w:pPr>
      <w:r>
        <w:t>Corporate Billing</w:t>
      </w:r>
    </w:p>
    <w:p>
      <w:r>
        <w:t>Corporate rentals may be billed through invoice, purchase order, or central account billing. Corporate terms are governed by the approved account profile.</w:t>
      </w:r>
    </w:p>
    <w:p>
      <w:r>
        <w:t>Support agents should route corporate billing disputes to the assigned account manager when a master services agreement applies.</w:t>
      </w:r>
    </w:p>
    <w:p>
      <w:pPr>
        <w:pStyle w:val="Heading1"/>
      </w:pPr>
      <w:r>
        <w:t>Examples</w:t>
      </w:r>
    </w:p>
    <w:p>
      <w:r>
        <w:t>If a customer swaps a basic desk for an executive desk mid-cycle, the new rate may be prorated from the effective date.</w:t>
      </w:r>
    </w:p>
    <w:p>
      <w:r>
        <w:t>If a payment card expires, the customer remains responsible for unpaid rent even if reminders were not opened.</w:t>
      </w:r>
    </w:p>
    <w:p>
      <w:pPr>
        <w:pStyle w:val="Heading1"/>
      </w:pPr>
      <w:r>
        <w:t>Escalation Rules</w:t>
      </w:r>
    </w:p>
    <w:p>
      <w:r>
        <w:t>Escalate failed payment disputes above 300 USD to Finance Operations.</w:t>
      </w:r>
    </w:p>
    <w:p>
      <w:r>
        <w:t>Escalate corporate invoice mismatches to Account Management and Finance.</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Subscription Plans and Billing Policy</w:t>
            </w:r>
          </w:p>
        </w:tc>
      </w:tr>
      <w:tr>
        <w:tc>
          <w:tcPr>
            <w:tcW w:type="dxa" w:w="4896"/>
          </w:tcPr>
          <w:p>
            <w:r>
              <w:t>document_type</w:t>
            </w:r>
          </w:p>
        </w:tc>
        <w:tc>
          <w:tcPr>
            <w:tcW w:type="dxa" w:w="4896"/>
          </w:tcPr>
          <w:p>
            <w:r>
              <w:t>policy</w:t>
            </w:r>
          </w:p>
        </w:tc>
      </w:tr>
      <w:tr>
        <w:tc>
          <w:tcPr>
            <w:tcW w:type="dxa" w:w="4896"/>
          </w:tcPr>
          <w:p>
            <w:r>
              <w:t>department</w:t>
            </w:r>
          </w:p>
        </w:tc>
        <w:tc>
          <w:tcPr>
            <w:tcW w:type="dxa" w:w="4896"/>
          </w:tcPr>
          <w:p>
            <w:r>
              <w:t>finance</w:t>
            </w:r>
          </w:p>
        </w:tc>
      </w:tr>
      <w:tr>
        <w:tc>
          <w:tcPr>
            <w:tcW w:type="dxa" w:w="4896"/>
          </w:tcPr>
          <w:p>
            <w:r>
              <w:t>audience</w:t>
            </w:r>
          </w:p>
        </w:tc>
        <w:tc>
          <w:tcPr>
            <w:tcW w:type="dxa" w:w="4896"/>
          </w:tcPr>
          <w:p>
            <w:r>
              <w:t>customer</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