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Customer Support Escalation SOP</w:t>
      </w:r>
    </w:p>
    <w:p>
      <w:pPr>
        <w:jc w:val="center"/>
      </w:pPr>
      <w:r>
        <w:rPr>
          <w:i/>
        </w:rPr>
        <w:t>RentOut Furniture Rental Operations</w:t>
      </w:r>
    </w:p>
    <w:p>
      <w:r>
        <w:t>Title: Customer Support Escalation SOP</w:t>
      </w:r>
    </w:p>
    <w:p>
      <w:r>
        <w:t>Document Type: sop</w:t>
      </w:r>
    </w:p>
    <w:p>
      <w:r>
        <w:t>Department: support</w:t>
      </w:r>
    </w:p>
    <w:p>
      <w:r>
        <w:t>Audience: support_agent</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SOP tells RentOut support agents when to resolve an issue directly and when to escalate to another team.</w:t>
      </w:r>
    </w:p>
    <w:p>
      <w:r>
        <w:t>It is intended to reduce inconsistent handling, missed risk signals, and unnecessary delays.</w:t>
      </w:r>
    </w:p>
    <w:p>
      <w:pPr>
        <w:pStyle w:val="Heading1"/>
      </w:pPr>
      <w:r>
        <w:t>Agent-Owned Issues</w:t>
      </w:r>
    </w:p>
    <w:p>
      <w:r>
        <w:t>Agents may resolve standard plan questions, delivery status questions, basic pickup scheduling, product care guidance, and policy explanations using approved knowledge base content.</w:t>
      </w:r>
    </w:p>
    <w:p>
      <w:r>
        <w:t>Agents should document the customer question, policy basis, action taken, and any promised follow-up.</w:t>
      </w:r>
    </w:p>
    <w:p>
      <w:pPr>
        <w:pStyle w:val="Heading1"/>
      </w:pPr>
      <w:r>
        <w:t>Required Escalations</w:t>
      </w:r>
    </w:p>
    <w:p>
      <w:r>
        <w:t>Escalate legal threats, chargebacks, suspected fraud, safety incidents, pest contamination, refund disputes above threshold, corporate contract conflicts, and media or executive complaints.</w:t>
      </w:r>
    </w:p>
    <w:p>
      <w:r>
        <w:t>Escalate any issue where the customer requests a commitment that exceeds published policy or the agent's authority.</w:t>
      </w:r>
    </w:p>
    <w:p>
      <w:pPr>
        <w:pStyle w:val="Heading1"/>
      </w:pPr>
      <w:r>
        <w:t>Escalation Package</w:t>
      </w:r>
    </w:p>
    <w:p>
      <w:r>
        <w:t>The escalation note should include customer ID, order ID, item IDs, relevant photos, timeline, customer request, policy references, financial exposure, and recommended next action.</w:t>
      </w:r>
    </w:p>
    <w:p>
      <w:r>
        <w:t>If evidence is incomplete, state exactly what is missing rather than delaying escalation indefinitely.</w:t>
      </w:r>
    </w:p>
    <w:p>
      <w:pPr>
        <w:pStyle w:val="Heading1"/>
      </w:pPr>
      <w:r>
        <w:t>Response Time Expectations</w:t>
      </w:r>
    </w:p>
    <w:p>
      <w:r>
        <w:t>Urgent safety and access issues should be routed immediately. Standard refund or exception reviews should be routed by the end of the same business day.</w:t>
      </w:r>
    </w:p>
    <w:p>
      <w:r>
        <w:t>Agents should avoid repeated handoffs by selecting the correct owning team on the first escalation.</w:t>
      </w:r>
    </w:p>
    <w:p>
      <w:pPr>
        <w:pStyle w:val="Heading1"/>
      </w:pPr>
      <w:r>
        <w:t>Examples</w:t>
      </w:r>
    </w:p>
    <w:p>
      <w:r>
        <w:t>A customer asking how to clean a fabric sofa is agent-owned.</w:t>
      </w:r>
    </w:p>
    <w:p>
      <w:r>
        <w:t>A customer threatening legal action over a 900 USD damage claim requires escalation.</w:t>
      </w:r>
    </w:p>
    <w:p>
      <w:pPr>
        <w:pStyle w:val="Heading1"/>
      </w:pPr>
      <w:r>
        <w:t>Escalation Rules</w:t>
      </w:r>
    </w:p>
    <w:p>
      <w:r>
        <w:t>Escalate to Risk for fraud, chargeback, identity mismatch, theft, or insurance matters.</w:t>
      </w:r>
    </w:p>
    <w:p>
      <w:r>
        <w:t>Escalate to Warehouse Quality for disputed damage classification or contamination.</w:t>
      </w:r>
    </w:p>
    <w:p>
      <w:r>
        <w:t>Escalate to Finance for refunds, billing disputes, and deposit deductions above threshold.</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Customer Support Escalation SOP</w:t>
            </w:r>
          </w:p>
        </w:tc>
      </w:tr>
      <w:tr>
        <w:tc>
          <w:tcPr>
            <w:tcW w:type="dxa" w:w="4896"/>
          </w:tcPr>
          <w:p>
            <w:r>
              <w:t>document_type</w:t>
            </w:r>
          </w:p>
        </w:tc>
        <w:tc>
          <w:tcPr>
            <w:tcW w:type="dxa" w:w="4896"/>
          </w:tcPr>
          <w:p>
            <w:r>
              <w:t>sop</w:t>
            </w:r>
          </w:p>
        </w:tc>
      </w:tr>
      <w:tr>
        <w:tc>
          <w:tcPr>
            <w:tcW w:type="dxa" w:w="4896"/>
          </w:tcPr>
          <w:p>
            <w:r>
              <w:t>department</w:t>
            </w:r>
          </w:p>
        </w:tc>
        <w:tc>
          <w:tcPr>
            <w:tcW w:type="dxa" w:w="4896"/>
          </w:tcPr>
          <w:p>
            <w:r>
              <w:t>support</w:t>
            </w:r>
          </w:p>
        </w:tc>
      </w:tr>
      <w:tr>
        <w:tc>
          <w:tcPr>
            <w:tcW w:type="dxa" w:w="4896"/>
          </w:tcPr>
          <w:p>
            <w:r>
              <w:t>audience</w:t>
            </w:r>
          </w:p>
        </w:tc>
        <w:tc>
          <w:tcPr>
            <w:tcW w:type="dxa" w:w="4896"/>
          </w:tcPr>
          <w:p>
            <w:r>
              <w:t>support_agent</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