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CFC" w:rsidRDefault="006E6E9B">
      <w:pPr>
        <w:spacing w:after="40"/>
        <w:jc w:val="center"/>
      </w:pPr>
      <w:r>
        <w:rPr>
          <w:b/>
          <w:bCs/>
          <w:color w:val="1F3864"/>
          <w:sz w:val="40"/>
          <w:szCs w:val="40"/>
        </w:rPr>
        <w:t>Smart City Traffic Analytics</w:t>
      </w:r>
    </w:p>
    <w:p w:rsidR="00BC2CFC" w:rsidRDefault="006E6E9B">
      <w:pPr>
        <w:spacing w:after="200"/>
        <w:jc w:val="center"/>
      </w:pPr>
      <w:r>
        <w:rPr>
          <w:b/>
          <w:bCs/>
          <w:color w:val="2E74B5"/>
          <w:sz w:val="24"/>
          <w:szCs w:val="24"/>
        </w:rPr>
        <w:t>Business Context</w:t>
      </w:r>
    </w:p>
    <w:p w:rsidR="00BC2CFC" w:rsidRDefault="006E6E9B">
      <w:pPr>
        <w:pStyle w:val="Heading1"/>
        <w:pBdr>
          <w:bottom w:val="single" w:sz="6" w:space="4" w:color="2E74B5"/>
        </w:pBdr>
        <w:spacing w:before="260" w:after="120"/>
      </w:pPr>
      <w:r>
        <w:rPr>
          <w:b/>
          <w:bCs/>
          <w:color w:val="1F3864"/>
          <w:sz w:val="26"/>
          <w:szCs w:val="26"/>
        </w:rPr>
        <w:t>Industry &amp; Domain</w:t>
      </w:r>
    </w:p>
    <w:p w:rsidR="00BC2CFC" w:rsidRDefault="006E6E9B">
      <w:pPr>
        <w:spacing w:after="100"/>
      </w:pPr>
      <w:r>
        <w:rPr>
          <w:color w:val="262626"/>
          <w:sz w:val="21"/>
          <w:szCs w:val="21"/>
        </w:rPr>
        <w:t>This project sits at the intersection of two connected domains within urban governance and mobility: road safety administration (public sector, law enforcement, and transport authorities) and smart city traffic management (urban planning, IoT-based traffic</w:t>
      </w:r>
      <w:r>
        <w:rPr>
          <w:color w:val="262626"/>
          <w:sz w:val="21"/>
          <w:szCs w:val="21"/>
        </w:rPr>
        <w:t xml:space="preserve"> monitoring, and sustainable mobility). Both domains are increasingly reliant on data analytics to move from manual, report-based decision-making toward real-time, evidence-based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2607"/>
        <w:gridCol w:w="2608"/>
        <w:gridCol w:w="2608"/>
      </w:tblGrid>
      <w:tr w:rsidR="00BC2CFC">
        <w:tblPrEx>
          <w:tblCellMar>
            <w:top w:w="0" w:type="dxa"/>
            <w:bottom w:w="0" w:type="dxa"/>
          </w:tblCellMar>
        </w:tblPrEx>
        <w:tc>
          <w:tcPr>
            <w:tcW w:w="1250" w:type="pct"/>
            <w:shd w:val="clear" w:color="auto" w:fill="F2F2F2"/>
            <w:tcMar>
              <w:top w:w="100" w:type="dxa"/>
              <w:left w:w="120" w:type="dxa"/>
              <w:bottom w:w="100" w:type="dxa"/>
              <w:right w:w="120" w:type="dxa"/>
            </w:tcMar>
          </w:tcPr>
          <w:p w:rsidR="00BC2CFC" w:rsidRDefault="006E6E9B">
            <w:pPr>
              <w:jc w:val="center"/>
            </w:pPr>
            <w:r>
              <w:rPr>
                <w:b/>
                <w:bCs/>
                <w:color w:val="1F3864"/>
                <w:sz w:val="26"/>
                <w:szCs w:val="26"/>
              </w:rPr>
              <w:t>20,000</w:t>
            </w:r>
          </w:p>
          <w:p w:rsidR="00BC2CFC" w:rsidRDefault="006E6E9B">
            <w:pPr>
              <w:jc w:val="center"/>
            </w:pPr>
            <w:r>
              <w:rPr>
                <w:color w:val="595959"/>
                <w:sz w:val="16"/>
                <w:szCs w:val="16"/>
              </w:rPr>
              <w:t>Accident Records</w:t>
            </w:r>
          </w:p>
        </w:tc>
        <w:tc>
          <w:tcPr>
            <w:tcW w:w="1250" w:type="pct"/>
            <w:shd w:val="clear" w:color="auto" w:fill="F2F2F2"/>
            <w:tcMar>
              <w:top w:w="100" w:type="dxa"/>
              <w:left w:w="120" w:type="dxa"/>
              <w:bottom w:w="100" w:type="dxa"/>
              <w:right w:w="120" w:type="dxa"/>
            </w:tcMar>
          </w:tcPr>
          <w:p w:rsidR="00BC2CFC" w:rsidRDefault="006E6E9B">
            <w:pPr>
              <w:jc w:val="center"/>
            </w:pPr>
            <w:r>
              <w:rPr>
                <w:b/>
                <w:bCs/>
                <w:color w:val="1F3864"/>
                <w:sz w:val="26"/>
                <w:szCs w:val="26"/>
              </w:rPr>
              <w:t>8</w:t>
            </w:r>
          </w:p>
          <w:p w:rsidR="00BC2CFC" w:rsidRDefault="006E6E9B">
            <w:pPr>
              <w:jc w:val="center"/>
            </w:pPr>
            <w:r>
              <w:rPr>
                <w:color w:val="595959"/>
                <w:sz w:val="16"/>
                <w:szCs w:val="16"/>
              </w:rPr>
              <w:t>Cities Covered</w:t>
            </w:r>
          </w:p>
        </w:tc>
        <w:tc>
          <w:tcPr>
            <w:tcW w:w="1250" w:type="pct"/>
            <w:shd w:val="clear" w:color="auto" w:fill="F2F2F2"/>
            <w:tcMar>
              <w:top w:w="100" w:type="dxa"/>
              <w:left w:w="120" w:type="dxa"/>
              <w:bottom w:w="100" w:type="dxa"/>
              <w:right w:w="120" w:type="dxa"/>
            </w:tcMar>
          </w:tcPr>
          <w:p w:rsidR="00BC2CFC" w:rsidRDefault="006E6E9B">
            <w:pPr>
              <w:jc w:val="center"/>
            </w:pPr>
            <w:r>
              <w:rPr>
                <w:b/>
                <w:bCs/>
                <w:color w:val="1F3864"/>
                <w:sz w:val="26"/>
                <w:szCs w:val="26"/>
              </w:rPr>
              <w:t>34,529</w:t>
            </w:r>
          </w:p>
          <w:p w:rsidR="00BC2CFC" w:rsidRDefault="006E6E9B">
            <w:pPr>
              <w:jc w:val="center"/>
            </w:pPr>
            <w:r>
              <w:rPr>
                <w:color w:val="595959"/>
                <w:sz w:val="16"/>
                <w:szCs w:val="16"/>
              </w:rPr>
              <w:t>Total Casualties</w:t>
            </w:r>
          </w:p>
        </w:tc>
        <w:tc>
          <w:tcPr>
            <w:tcW w:w="1250" w:type="pct"/>
            <w:shd w:val="clear" w:color="auto" w:fill="F2F2F2"/>
            <w:tcMar>
              <w:top w:w="100" w:type="dxa"/>
              <w:left w:w="120" w:type="dxa"/>
              <w:bottom w:w="100" w:type="dxa"/>
              <w:right w:w="120" w:type="dxa"/>
            </w:tcMar>
          </w:tcPr>
          <w:p w:rsidR="00BC2CFC" w:rsidRDefault="006E6E9B">
            <w:pPr>
              <w:jc w:val="center"/>
            </w:pPr>
            <w:r>
              <w:rPr>
                <w:b/>
                <w:bCs/>
                <w:color w:val="1F3864"/>
                <w:sz w:val="26"/>
                <w:szCs w:val="26"/>
              </w:rPr>
              <w:t>5,</w:t>
            </w:r>
            <w:r>
              <w:rPr>
                <w:b/>
                <w:bCs/>
                <w:color w:val="1F3864"/>
                <w:sz w:val="26"/>
                <w:szCs w:val="26"/>
              </w:rPr>
              <w:t>000</w:t>
            </w:r>
          </w:p>
          <w:p w:rsidR="00BC2CFC" w:rsidRDefault="006E6E9B">
            <w:pPr>
              <w:jc w:val="center"/>
            </w:pPr>
            <w:r>
              <w:rPr>
                <w:color w:val="595959"/>
                <w:sz w:val="16"/>
                <w:szCs w:val="16"/>
              </w:rPr>
              <w:t>Mobility Readings</w:t>
            </w:r>
          </w:p>
        </w:tc>
      </w:tr>
    </w:tbl>
    <w:p w:rsidR="00BC2CFC" w:rsidRDefault="00BC2CFC">
      <w:pPr>
        <w:spacing w:after="160"/>
      </w:pPr>
    </w:p>
    <w:p w:rsidR="00BC2CFC" w:rsidRDefault="006E6E9B">
      <w:pPr>
        <w:pStyle w:val="Heading1"/>
        <w:pBdr>
          <w:bottom w:val="single" w:sz="6" w:space="4" w:color="2E74B5"/>
        </w:pBdr>
        <w:spacing w:before="260" w:after="120"/>
      </w:pPr>
      <w:r>
        <w:rPr>
          <w:b/>
          <w:bCs/>
          <w:color w:val="1F3864"/>
          <w:sz w:val="26"/>
          <w:szCs w:val="26"/>
        </w:rPr>
        <w:t>Business Context 1 — Indian Roads Accident Dataset</w:t>
      </w:r>
    </w:p>
    <w:p w:rsidR="00BC2CFC" w:rsidRDefault="006E6E9B">
      <w:pPr>
        <w:spacing w:after="100"/>
      </w:pPr>
      <w:r>
        <w:rPr>
          <w:color w:val="262626"/>
          <w:sz w:val="21"/>
          <w:szCs w:val="21"/>
        </w:rPr>
        <w:t>India records among the highest number of road traffic fatalities in the world, and metro cities such as Mumbai, Delhi, Bangalore, Chennai, Kolkata, Hyderabad, Pune, and Chandigarh face constant pressure from rising vehicle density, mixed traffic, and inco</w:t>
      </w:r>
      <w:r>
        <w:rPr>
          <w:color w:val="262626"/>
          <w:sz w:val="21"/>
          <w:szCs w:val="21"/>
        </w:rPr>
        <w:t>nsistent road infrastructure. Road safety in this context is managed by multiple stakeholders — state traffic police, municipal road authorities, transport departments, and insurance companies — each of whom depends on accurate incident data to plan interv</w:t>
      </w:r>
      <w:r>
        <w:rPr>
          <w:color w:val="262626"/>
          <w:sz w:val="21"/>
          <w:szCs w:val="21"/>
        </w:rPr>
        <w:t>entions, allocate enforcement resources, and assess risk.</w:t>
      </w:r>
    </w:p>
    <w:p w:rsidR="00BC2CFC" w:rsidRDefault="006E6E9B">
      <w:pPr>
        <w:spacing w:after="100"/>
      </w:pPr>
      <w:r>
        <w:rPr>
          <w:color w:val="262626"/>
          <w:sz w:val="21"/>
          <w:szCs w:val="21"/>
        </w:rPr>
        <w:t>Currently, accident reporting across these stakeholders tends to be descriptive (what happened) rather than predictive (what conditions are likely to cause future incidents). This dataset — spanning</w:t>
      </w:r>
      <w:r>
        <w:rPr>
          <w:color w:val="262626"/>
          <w:sz w:val="21"/>
          <w:szCs w:val="21"/>
        </w:rPr>
        <w:t xml:space="preserve"> 2022 to 2024 and capturing location, time, weather, road type, cause, and severity for 20,000 incidents — represents the kind of structured data these stakeholders would need to shift toward a risk-based, preventive approach rather than a purely reactive </w:t>
      </w:r>
      <w:r>
        <w:rPr>
          <w:color w:val="262626"/>
          <w:sz w:val="21"/>
          <w:szCs w:val="21"/>
        </w:rPr>
        <w:t>one.</w:t>
      </w:r>
    </w:p>
    <w:p w:rsidR="00BC2CFC" w:rsidRDefault="006E6E9B">
      <w:pPr>
        <w:spacing w:before="160" w:after="60"/>
      </w:pPr>
      <w:r>
        <w:rPr>
          <w:b/>
          <w:bCs/>
          <w:color w:val="2E74B5"/>
          <w:sz w:val="22"/>
          <w:szCs w:val="22"/>
        </w:rPr>
        <w:t>Key Stakeholders</w:t>
      </w:r>
    </w:p>
    <w:p w:rsidR="00BC2CFC" w:rsidRDefault="006E6E9B">
      <w:pPr>
        <w:pStyle w:val="ListParagraph"/>
        <w:numPr>
          <w:ilvl w:val="0"/>
          <w:numId w:val="2"/>
        </w:numPr>
        <w:spacing w:after="40"/>
      </w:pPr>
      <w:r>
        <w:rPr>
          <w:color w:val="262626"/>
          <w:sz w:val="21"/>
          <w:szCs w:val="21"/>
        </w:rPr>
        <w:t>State/city traffic police — enforcement planning and patrol allocation</w:t>
      </w:r>
    </w:p>
    <w:p w:rsidR="00BC2CFC" w:rsidRDefault="006E6E9B">
      <w:pPr>
        <w:pStyle w:val="ListParagraph"/>
        <w:numPr>
          <w:ilvl w:val="0"/>
          <w:numId w:val="2"/>
        </w:numPr>
        <w:spacing w:after="40"/>
      </w:pPr>
      <w:r>
        <w:rPr>
          <w:color w:val="262626"/>
          <w:sz w:val="21"/>
          <w:szCs w:val="21"/>
        </w:rPr>
        <w:t>Municipal road &amp; transport authorities — infrastructure and signage investment</w:t>
      </w:r>
    </w:p>
    <w:p w:rsidR="00BC2CFC" w:rsidRDefault="006E6E9B">
      <w:pPr>
        <w:pStyle w:val="ListParagraph"/>
        <w:numPr>
          <w:ilvl w:val="0"/>
          <w:numId w:val="2"/>
        </w:numPr>
        <w:spacing w:after="40"/>
      </w:pPr>
      <w:r>
        <w:rPr>
          <w:color w:val="262626"/>
          <w:sz w:val="21"/>
          <w:szCs w:val="21"/>
        </w:rPr>
        <w:t>Insurance companies — risk assessment and premium modeling</w:t>
      </w:r>
    </w:p>
    <w:p w:rsidR="00BC2CFC" w:rsidRDefault="006E6E9B">
      <w:pPr>
        <w:pStyle w:val="ListParagraph"/>
        <w:numPr>
          <w:ilvl w:val="0"/>
          <w:numId w:val="2"/>
        </w:numPr>
        <w:spacing w:after="40"/>
      </w:pPr>
      <w:r>
        <w:rPr>
          <w:color w:val="262626"/>
          <w:sz w:val="21"/>
          <w:szCs w:val="21"/>
        </w:rPr>
        <w:t>Road safety NGOs and poli</w:t>
      </w:r>
      <w:r>
        <w:rPr>
          <w:color w:val="262626"/>
          <w:sz w:val="21"/>
          <w:szCs w:val="21"/>
        </w:rPr>
        <w:t>cymakers — awareness campaigns and regulation</w:t>
      </w:r>
    </w:p>
    <w:p w:rsidR="00BC2CFC" w:rsidRDefault="006E6E9B">
      <w:pPr>
        <w:pStyle w:val="Heading1"/>
        <w:pBdr>
          <w:bottom w:val="single" w:sz="6" w:space="4" w:color="2E74B5"/>
        </w:pBdr>
        <w:spacing w:before="260" w:after="120"/>
      </w:pPr>
      <w:r>
        <w:rPr>
          <w:b/>
          <w:bCs/>
          <w:color w:val="1F3864"/>
          <w:sz w:val="26"/>
          <w:szCs w:val="26"/>
        </w:rPr>
        <w:t>Business Context 2 — Smart Mobility Dataset</w:t>
      </w:r>
    </w:p>
    <w:p w:rsidR="00BC2CFC" w:rsidRDefault="006E6E9B">
      <w:pPr>
        <w:spacing w:after="100"/>
      </w:pPr>
      <w:r>
        <w:rPr>
          <w:color w:val="262626"/>
          <w:sz w:val="21"/>
          <w:szCs w:val="21"/>
        </w:rPr>
        <w:t xml:space="preserve">As cities adopt smart infrastructure — connected traffic lights, IoT sensors, and ride-sharing platforms — traffic and transport departments are moving from periodic </w:t>
      </w:r>
      <w:r>
        <w:rPr>
          <w:color w:val="262626"/>
          <w:sz w:val="21"/>
          <w:szCs w:val="21"/>
        </w:rPr>
        <w:t>manual surveys to continuous, sensor-driven monitoring of road conditions. This shift is part of a broader Smart City movement, where data on vehicle flow, congestion, emissions, and mobility demand is captured every few minutes rather than through occasio</w:t>
      </w:r>
      <w:r>
        <w:rPr>
          <w:color w:val="262626"/>
          <w:sz w:val="21"/>
          <w:szCs w:val="21"/>
        </w:rPr>
        <w:t>nal traffic counts.</w:t>
      </w:r>
    </w:p>
    <w:p w:rsidR="00BC2CFC" w:rsidRDefault="006E6E9B">
      <w:pPr>
        <w:spacing w:after="100"/>
      </w:pPr>
      <w:r>
        <w:rPr>
          <w:color w:val="262626"/>
          <w:sz w:val="21"/>
          <w:szCs w:val="21"/>
        </w:rPr>
        <w:t>The Smart Mobility dataset reflects this environment: 5,000 high-frequency readings (5-minute intervals) capturing vehicle count, traffic speed, road occupancy, weather, ride-sharing demand, parking availability, emissions, and energy c</w:t>
      </w:r>
      <w:r>
        <w:rPr>
          <w:color w:val="262626"/>
          <w:sz w:val="21"/>
          <w:szCs w:val="21"/>
        </w:rPr>
        <w:t>onsumption. Stakeholders in this space include city traffic control centers, urban mobility planners, ride-sharing and logistics companies, and environmental regulators — all of whom need to understand how congestion, demand, and emissions interact in near</w:t>
      </w:r>
      <w:r>
        <w:rPr>
          <w:color w:val="262626"/>
          <w:sz w:val="21"/>
          <w:szCs w:val="21"/>
        </w:rPr>
        <w:t xml:space="preserve"> real time to make operational and policy decisions.</w:t>
      </w:r>
    </w:p>
    <w:p w:rsidR="00BC2CFC" w:rsidRDefault="006E6E9B">
      <w:pPr>
        <w:spacing w:before="160" w:after="60"/>
      </w:pPr>
      <w:r>
        <w:rPr>
          <w:b/>
          <w:bCs/>
          <w:color w:val="2E74B5"/>
          <w:sz w:val="22"/>
          <w:szCs w:val="22"/>
        </w:rPr>
        <w:t>Key Stakeholders</w:t>
      </w:r>
    </w:p>
    <w:p w:rsidR="00BC2CFC" w:rsidRDefault="006E6E9B">
      <w:pPr>
        <w:pStyle w:val="ListParagraph"/>
        <w:numPr>
          <w:ilvl w:val="0"/>
          <w:numId w:val="2"/>
        </w:numPr>
        <w:spacing w:after="40"/>
      </w:pPr>
      <w:r>
        <w:rPr>
          <w:color w:val="262626"/>
          <w:sz w:val="21"/>
          <w:szCs w:val="21"/>
        </w:rPr>
        <w:t>City traffic control/management centers — signal timing and congestion response</w:t>
      </w:r>
    </w:p>
    <w:p w:rsidR="00BC2CFC" w:rsidRDefault="006E6E9B">
      <w:pPr>
        <w:pStyle w:val="ListParagraph"/>
        <w:numPr>
          <w:ilvl w:val="0"/>
          <w:numId w:val="2"/>
        </w:numPr>
        <w:spacing w:after="40"/>
      </w:pPr>
      <w:r>
        <w:rPr>
          <w:color w:val="262626"/>
          <w:sz w:val="21"/>
          <w:szCs w:val="21"/>
        </w:rPr>
        <w:t>Urban &amp; transport planners — infrastructure and public transit planning</w:t>
      </w:r>
    </w:p>
    <w:p w:rsidR="00BC2CFC" w:rsidRDefault="006E6E9B">
      <w:pPr>
        <w:pStyle w:val="ListParagraph"/>
        <w:numPr>
          <w:ilvl w:val="0"/>
          <w:numId w:val="2"/>
        </w:numPr>
        <w:spacing w:after="40"/>
      </w:pPr>
      <w:r>
        <w:rPr>
          <w:color w:val="262626"/>
          <w:sz w:val="21"/>
          <w:szCs w:val="21"/>
        </w:rPr>
        <w:t>Ride-sharing and logistics companies — demand forecasting and fleet positioning</w:t>
      </w:r>
    </w:p>
    <w:p w:rsidR="00BC2CFC" w:rsidRDefault="006E6E9B">
      <w:pPr>
        <w:pStyle w:val="ListParagraph"/>
        <w:numPr>
          <w:ilvl w:val="0"/>
          <w:numId w:val="2"/>
        </w:numPr>
        <w:spacing w:after="40"/>
      </w:pPr>
      <w:r>
        <w:rPr>
          <w:color w:val="262626"/>
          <w:sz w:val="21"/>
          <w:szCs w:val="21"/>
        </w:rPr>
        <w:t>Environmental/pollution control boards — emissions monitoring and regulation</w:t>
      </w:r>
    </w:p>
    <w:p w:rsidR="00BC2CFC" w:rsidRDefault="006E6E9B">
      <w:pPr>
        <w:pStyle w:val="Heading1"/>
        <w:pBdr>
          <w:bottom w:val="single" w:sz="6" w:space="4" w:color="2E74B5"/>
        </w:pBdr>
        <w:spacing w:before="260" w:after="120"/>
      </w:pPr>
      <w:r>
        <w:rPr>
          <w:b/>
          <w:bCs/>
          <w:color w:val="1F3864"/>
          <w:sz w:val="26"/>
          <w:szCs w:val="26"/>
        </w:rPr>
        <w:t>Why This Matters — Unified Business Context</w:t>
      </w:r>
    </w:p>
    <w:p w:rsidR="006E6E9B" w:rsidRDefault="006E6E9B">
      <w:pPr>
        <w:spacing w:after="100"/>
      </w:pPr>
      <w:r>
        <w:rPr>
          <w:i/>
          <w:iCs/>
          <w:color w:val="262626"/>
          <w:sz w:val="21"/>
          <w:szCs w:val="21"/>
        </w:rPr>
        <w:t xml:space="preserve">Together, these two datasets represent the two pillars </w:t>
      </w:r>
      <w:r>
        <w:rPr>
          <w:i/>
          <w:iCs/>
          <w:color w:val="262626"/>
          <w:sz w:val="21"/>
          <w:szCs w:val="21"/>
        </w:rPr>
        <w:t>city administrations need for a functioning smart-mobility ecosystem: understanding where and why accidents happen, and understanding how traffic actually flows on a day-to-day basis. Cities that can connect these two views — rather than treating safety an</w:t>
      </w:r>
      <w:r>
        <w:rPr>
          <w:i/>
          <w:iCs/>
          <w:color w:val="262626"/>
          <w:sz w:val="21"/>
          <w:szCs w:val="21"/>
        </w:rPr>
        <w:t xml:space="preserve">d traffic management as separate departments — are </w:t>
      </w:r>
      <w:r>
        <w:rPr>
          <w:i/>
          <w:iCs/>
          <w:color w:val="262626"/>
          <w:sz w:val="21"/>
          <w:szCs w:val="21"/>
        </w:rPr>
        <w:lastRenderedPageBreak/>
        <w:t xml:space="preserve">better positioned to reduce fatalities, cut commute times, and lower emissions through coordinated, data-backed decisions. </w:t>
      </w:r>
      <w:r>
        <w:rPr>
          <w:i/>
          <w:iCs/>
          <w:color w:val="262626"/>
          <w:sz w:val="21"/>
          <w:szCs w:val="21"/>
        </w:rPr>
        <w:t>This project is fra</w:t>
      </w:r>
      <w:bookmarkStart w:id="0" w:name="_GoBack"/>
      <w:bookmarkEnd w:id="0"/>
      <w:r>
        <w:rPr>
          <w:i/>
          <w:iCs/>
          <w:color w:val="262626"/>
          <w:sz w:val="21"/>
          <w:szCs w:val="21"/>
        </w:rPr>
        <w:t>med to demonstrate that connected view using real analytics too</w:t>
      </w:r>
      <w:r>
        <w:rPr>
          <w:i/>
          <w:iCs/>
          <w:color w:val="262626"/>
          <w:sz w:val="21"/>
          <w:szCs w:val="21"/>
        </w:rPr>
        <w:t xml:space="preserve">ls (Excel, SQL, Python, Power BI) an </w:t>
      </w:r>
      <w:r>
        <w:rPr>
          <w:i/>
          <w:iCs/>
          <w:color w:val="262626"/>
          <w:sz w:val="21"/>
          <w:szCs w:val="21"/>
        </w:rPr>
        <w:t>aspiring data analyst would use in an actual city-planning or transport-analytics role.</w:t>
      </w:r>
    </w:p>
    <w:p w:rsidR="006E6E9B" w:rsidRPr="006E6E9B" w:rsidRDefault="006E6E9B" w:rsidP="006E6E9B"/>
    <w:p w:rsidR="006E6E9B" w:rsidRDefault="006E6E9B" w:rsidP="006E6E9B"/>
    <w:p w:rsidR="006E6E9B" w:rsidRPr="006E6E9B" w:rsidRDefault="006E6E9B" w:rsidP="006E6E9B">
      <w:pPr>
        <w:pStyle w:val="NoSpacing"/>
        <w:rPr>
          <w:rFonts w:ascii="Times New Roman" w:hAnsi="Times New Roman" w:cs="Times New Roman"/>
          <w:b/>
          <w:color w:val="002060"/>
          <w:sz w:val="28"/>
          <w:szCs w:val="28"/>
        </w:rPr>
      </w:pPr>
      <w:r w:rsidRPr="006E6E9B">
        <w:rPr>
          <w:rFonts w:ascii="Times New Roman" w:hAnsi="Times New Roman" w:cs="Times New Roman"/>
          <w:b/>
          <w:color w:val="002060"/>
          <w:sz w:val="28"/>
          <w:szCs w:val="28"/>
        </w:rPr>
        <w:t>Business Context</w:t>
      </w:r>
    </w:p>
    <w:p w:rsidR="006E6E9B" w:rsidRPr="006E6E9B" w:rsidRDefault="006E6E9B" w:rsidP="006E6E9B">
      <w:pPr>
        <w:pStyle w:val="NoSpacing"/>
        <w:rPr>
          <w:rFonts w:ascii="Times New Roman" w:hAnsi="Times New Roman" w:cs="Times New Roman"/>
          <w:b/>
          <w:color w:val="002060"/>
          <w:sz w:val="28"/>
          <w:szCs w:val="28"/>
        </w:rPr>
      </w:pPr>
      <w:r>
        <w:rPr>
          <w:b/>
          <w:bCs/>
          <w:noProof/>
          <w:color w:val="1F3864"/>
          <w:sz w:val="26"/>
          <w:szCs w:val="26"/>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69850</wp:posOffset>
                </wp:positionV>
                <wp:extent cx="6667500" cy="7620"/>
                <wp:effectExtent l="0" t="0" r="19050" b="30480"/>
                <wp:wrapNone/>
                <wp:docPr id="1" name="Straight Connector 1"/>
                <wp:cNvGraphicFramePr/>
                <a:graphic xmlns:a="http://schemas.openxmlformats.org/drawingml/2006/main">
                  <a:graphicData uri="http://schemas.microsoft.com/office/word/2010/wordprocessingShape">
                    <wps:wsp>
                      <wps:cNvCnPr/>
                      <wps:spPr>
                        <a:xfrm flipV="1">
                          <a:off x="0" y="0"/>
                          <a:ext cx="66675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7EFF2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" strokecolor="#5b9bd5 [3204]" strokeweight=".5pt">
                <v:stroke joinstyle="miter"/>
                <w10:wrap anchorx="margin"/>
              </v:line>
            </w:pict>
          </mc:Fallback>
        </mc:AlternateContent>
      </w:r>
    </w:p>
    <w:p w:rsidR="006E6E9B" w:rsidRPr="006E6E9B" w:rsidRDefault="006E6E9B" w:rsidP="006E6E9B">
      <w:pPr>
        <w:pStyle w:val="NoSpacing"/>
        <w:rPr>
          <w:rFonts w:ascii="Times New Roman" w:hAnsi="Times New Roman" w:cs="Times New Roman"/>
          <w:sz w:val="24"/>
          <w:szCs w:val="24"/>
        </w:rPr>
      </w:pPr>
      <w:r w:rsidRPr="006E6E9B">
        <w:rPr>
          <w:rFonts w:ascii="Times New Roman" w:hAnsi="Times New Roman" w:cs="Times New Roman"/>
          <w:sz w:val="24"/>
          <w:szCs w:val="24"/>
        </w:rPr>
        <w:t>Smart cities face growing challenges in managing urban traffic due to rapid population growth, increasing vehicle density, and limited road infrastructure. Inefficient traffic flow leads to longer commute times, higher fuel consumption, increased air pollution, and reduced quality of life for citizens. Municipal authorities and transportation departments need data-driven insights to optimize signal timings, identify congestion hotspots, and plan better infrastructure investments.</w:t>
      </w:r>
    </w:p>
    <w:p w:rsidR="006E6E9B" w:rsidRPr="006E6E9B" w:rsidRDefault="006E6E9B" w:rsidP="006E6E9B">
      <w:pPr>
        <w:pStyle w:val="NoSpacing"/>
        <w:rPr>
          <w:rFonts w:ascii="Times New Roman" w:hAnsi="Times New Roman" w:cs="Times New Roman"/>
          <w:sz w:val="24"/>
          <w:szCs w:val="24"/>
        </w:rPr>
      </w:pPr>
      <w:r w:rsidRPr="006E6E9B">
        <w:rPr>
          <w:rFonts w:ascii="Times New Roman" w:hAnsi="Times New Roman" w:cs="Times New Roman"/>
          <w:sz w:val="24"/>
          <w:szCs w:val="24"/>
        </w:rPr>
        <w:t>This project analyzes historical traffic data to uncover patterns in vehicle volume, peak hours, accident-prone zones, and the impact of weather or events on traffic conditions. By transforming raw data into actionable intelligence, city planners can make informed decisions that improve mobility, reduce emissions, and enhance public safety.</w:t>
      </w:r>
    </w:p>
    <w:p w:rsidR="00BC2CFC" w:rsidRPr="006E6E9B" w:rsidRDefault="00BC2CFC" w:rsidP="006E6E9B"/>
    <w:sectPr w:rsidR="00BC2CFC" w:rsidRPr="006E6E9B">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32FDE"/>
    <w:multiLevelType w:val="hybridMultilevel"/>
    <w:tmpl w:val="20326B54"/>
    <w:lvl w:ilvl="0" w:tplc="155A6E58">
      <w:start w:val="1"/>
      <w:numFmt w:val="bullet"/>
      <w:lvlText w:val="●"/>
      <w:lvlJc w:val="left"/>
      <w:pPr>
        <w:ind w:left="720" w:hanging="360"/>
      </w:pPr>
    </w:lvl>
    <w:lvl w:ilvl="1" w:tplc="BD7E331E">
      <w:start w:val="1"/>
      <w:numFmt w:val="bullet"/>
      <w:lvlText w:val="○"/>
      <w:lvlJc w:val="left"/>
      <w:pPr>
        <w:ind w:left="1440" w:hanging="360"/>
      </w:pPr>
    </w:lvl>
    <w:lvl w:ilvl="2" w:tplc="62D6427A">
      <w:start w:val="1"/>
      <w:numFmt w:val="bullet"/>
      <w:lvlText w:val="■"/>
      <w:lvlJc w:val="left"/>
      <w:pPr>
        <w:ind w:left="2160" w:hanging="360"/>
      </w:pPr>
    </w:lvl>
    <w:lvl w:ilvl="3" w:tplc="BCCC4CE0">
      <w:start w:val="1"/>
      <w:numFmt w:val="bullet"/>
      <w:lvlText w:val="●"/>
      <w:lvlJc w:val="left"/>
      <w:pPr>
        <w:ind w:left="2880" w:hanging="360"/>
      </w:pPr>
    </w:lvl>
    <w:lvl w:ilvl="4" w:tplc="8DD4953E">
      <w:start w:val="1"/>
      <w:numFmt w:val="bullet"/>
      <w:lvlText w:val="○"/>
      <w:lvlJc w:val="left"/>
      <w:pPr>
        <w:ind w:left="3600" w:hanging="360"/>
      </w:pPr>
    </w:lvl>
    <w:lvl w:ilvl="5" w:tplc="D5F8034A">
      <w:start w:val="1"/>
      <w:numFmt w:val="bullet"/>
      <w:lvlText w:val="■"/>
      <w:lvlJc w:val="left"/>
      <w:pPr>
        <w:ind w:left="4320" w:hanging="360"/>
      </w:pPr>
    </w:lvl>
    <w:lvl w:ilvl="6" w:tplc="90A82170">
      <w:start w:val="1"/>
      <w:numFmt w:val="bullet"/>
      <w:lvlText w:val="●"/>
      <w:lvlJc w:val="left"/>
      <w:pPr>
        <w:ind w:left="5040" w:hanging="360"/>
      </w:pPr>
    </w:lvl>
    <w:lvl w:ilvl="7" w:tplc="068CA8D0">
      <w:start w:val="1"/>
      <w:numFmt w:val="bullet"/>
      <w:lvlText w:val="●"/>
      <w:lvlJc w:val="left"/>
      <w:pPr>
        <w:ind w:left="5760" w:hanging="360"/>
      </w:pPr>
    </w:lvl>
    <w:lvl w:ilvl="8" w:tplc="C06C64D0">
      <w:start w:val="1"/>
      <w:numFmt w:val="bullet"/>
      <w:lvlText w:val="●"/>
      <w:lvlJc w:val="left"/>
      <w:pPr>
        <w:ind w:left="6480" w:hanging="360"/>
      </w:pPr>
    </w:lvl>
  </w:abstractNum>
  <w:abstractNum w:abstractNumId="1" w15:restartNumberingAfterBreak="0">
    <w:nsid w:val="76846886"/>
    <w:multiLevelType w:val="hybridMultilevel"/>
    <w:tmpl w:val="4BFA266C"/>
    <w:lvl w:ilvl="0" w:tplc="84AC4934">
      <w:start w:val="1"/>
      <w:numFmt w:val="bullet"/>
      <w:lvlText w:val="•"/>
      <w:lvlJc w:val="left"/>
      <w:pPr>
        <w:ind w:left="431" w:hanging="259"/>
      </w:pPr>
    </w:lvl>
    <w:lvl w:ilvl="1" w:tplc="D52A41A2">
      <w:numFmt w:val="decimal"/>
      <w:lvlText w:val=""/>
      <w:lvlJc w:val="left"/>
    </w:lvl>
    <w:lvl w:ilvl="2" w:tplc="52307B2E">
      <w:numFmt w:val="decimal"/>
      <w:lvlText w:val=""/>
      <w:lvlJc w:val="left"/>
    </w:lvl>
    <w:lvl w:ilvl="3" w:tplc="EF8C6FE8">
      <w:numFmt w:val="decimal"/>
      <w:lvlText w:val=""/>
      <w:lvlJc w:val="left"/>
    </w:lvl>
    <w:lvl w:ilvl="4" w:tplc="7D7ED3A2">
      <w:numFmt w:val="decimal"/>
      <w:lvlText w:val=""/>
      <w:lvlJc w:val="left"/>
    </w:lvl>
    <w:lvl w:ilvl="5" w:tplc="9C8A07AA">
      <w:numFmt w:val="decimal"/>
      <w:lvlText w:val=""/>
      <w:lvlJc w:val="left"/>
    </w:lvl>
    <w:lvl w:ilvl="6" w:tplc="5C80F266">
      <w:numFmt w:val="decimal"/>
      <w:lvlText w:val=""/>
      <w:lvlJc w:val="left"/>
    </w:lvl>
    <w:lvl w:ilvl="7" w:tplc="ECD8CCD2">
      <w:numFmt w:val="decimal"/>
      <w:lvlText w:val=""/>
      <w:lvlJc w:val="left"/>
    </w:lvl>
    <w:lvl w:ilvl="8" w:tplc="25C2E5E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CFC"/>
    <w:rsid w:val="006E6E9B"/>
    <w:rsid w:val="00BC2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63A3"/>
  <w15:docId w15:val="{B1F05328-66DB-42BC-8178-A87BB92C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6E6E9B"/>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2026-09-06T08:26:00Z</dcterms:created>
  <dcterms:modified xsi:type="dcterms:W3CDTF">2026-09-06T08:38:00Z</dcterms:modified>
</cp:coreProperties>
</file>