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450" w:rsidRDefault="00083A8A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Smart City Traffic Analytics</w:t>
      </w:r>
    </w:p>
    <w:p w:rsidR="008F2450" w:rsidRDefault="00083A8A">
      <w:pPr>
        <w:spacing w:after="200"/>
        <w:jc w:val="center"/>
      </w:pPr>
      <w:r>
        <w:rPr>
          <w:b/>
          <w:bCs/>
          <w:color w:val="2E74B5"/>
          <w:sz w:val="24"/>
          <w:szCs w:val="24"/>
        </w:rPr>
        <w:t>Key Performance Indicators (KPIs)</w:t>
      </w:r>
    </w:p>
    <w:p w:rsidR="008F2450" w:rsidRDefault="00083A8A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KPIs — Indian Roads Accident Dataset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3"/>
        <w:gridCol w:w="4798"/>
        <w:gridCol w:w="3129"/>
      </w:tblGrid>
      <w:tr w:rsidR="008F24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3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b/>
                <w:bCs/>
                <w:color w:val="FFFFFF"/>
                <w:sz w:val="18"/>
                <w:szCs w:val="18"/>
              </w:rPr>
              <w:t>Definition / How It's Measured</w:t>
            </w:r>
          </w:p>
        </w:tc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b/>
                <w:bCs/>
                <w:color w:val="FFFFFF"/>
                <w:sz w:val="18"/>
                <w:szCs w:val="18"/>
              </w:rPr>
              <w:t>Business Relevance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Fatal Accident Rate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Fatal accidents ÷ total accidents, overall and by city/road type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Flags highest-severity zones needing immediate intervention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Average Risk Score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Mean of risk_score field, segmented by city, road type, weather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Ranks locations/conditions by predicted danger level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Casualties per 1,000 Accidents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Total casualties ÷ accidents × 1,000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Measures severity impact independent of accident volume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Peak-Hour Accident Share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% of accidents occurring in is_peak_hour = 1 windows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Justifies targeted patrol/enforcement scheduling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Weekend vs. Weekday Accident Ratio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Accidents on is_weekend = 1 vs. = 0, normalized by day count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Informs resourcing for weekend-specific risk (e.g. drunk driving)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Top Cause Contribution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% share of each cause (Over speeding</w:t>
            </w:r>
            <w:r>
              <w:rPr>
                <w:color w:val="262626"/>
                <w:sz w:val="18"/>
                <w:szCs w:val="18"/>
              </w:rPr>
              <w:t>, Distraction, Drunk Driving, Poor Road, Weather) in Fatal/Major cases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Prioritizes root-cause-specific safety campaigns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Weather-Linked Severity Rate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% of Major/Fatal accidents occurring in Fog/Rain vs. Clear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Supports wea</w:t>
            </w:r>
            <w:r>
              <w:rPr>
                <w:color w:val="262626"/>
                <w:sz w:val="18"/>
                <w:szCs w:val="18"/>
              </w:rPr>
              <w:t>ther-based advisories and signage</w:t>
            </w:r>
          </w:p>
        </w:tc>
      </w:tr>
    </w:tbl>
    <w:p w:rsidR="008F2450" w:rsidRDefault="008F2450">
      <w:pPr>
        <w:spacing w:after="200"/>
      </w:pPr>
    </w:p>
    <w:p w:rsidR="008F2450" w:rsidRDefault="00083A8A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KPIs — Smart Mobility Dataset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3"/>
        <w:gridCol w:w="4798"/>
        <w:gridCol w:w="3129"/>
      </w:tblGrid>
      <w:tr w:rsidR="008F24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3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b/>
                <w:bCs/>
                <w:color w:val="FFFFFF"/>
                <w:sz w:val="18"/>
                <w:szCs w:val="18"/>
              </w:rPr>
              <w:t>Definition / How It's Measured</w:t>
            </w:r>
          </w:p>
        </w:tc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b/>
                <w:bCs/>
                <w:color w:val="FFFFFF"/>
                <w:sz w:val="18"/>
                <w:szCs w:val="18"/>
              </w:rPr>
              <w:t>Business Relevance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High-Congestion Share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% of readings with Traffic Condition</w:t>
            </w:r>
            <w:r>
              <w:rPr>
                <w:color w:val="262626"/>
                <w:sz w:val="18"/>
                <w:szCs w:val="18"/>
              </w:rPr>
              <w:t xml:space="preserve"> = High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Baseline measure of how congested the network is overall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Avg. Traffic Speed by Occupancy Band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Mean Traffic_Speed_kmh grouped by Road_Occupancy_% deciles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Shows the speed penalty as roads fill up, for capacity planning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Accident Rate per 1,000 Readings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Accident_Report sum ÷ total readings × 1,000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Tracks how often congestion coincides with incidents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Emissions per Vehicle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Emission_Levels_km ÷ Vehicle_Count, by congestion tier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Quantifies environmental cost of congestion for policy targets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Energy Consumption per Congestion Tier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Mean Energy_Consumption_L_h grouped by Traffic_Condition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Links fuel/energy waste directly to traffic state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Ride-Sharing Demand Index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Mean Ride_Sharing_Demand by hour-of-day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Identifies peak demand windows for fleet positioning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Parking Availability Gap</w:t>
            </w:r>
          </w:p>
        </w:tc>
        <w:tc>
          <w:tcPr>
            <w:tcW w:w="2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Ride_Sharing_Demand vs. Parking_Availability correlation, by time window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Flags supply-demand mismatch for parking policy</w:t>
            </w:r>
          </w:p>
        </w:tc>
      </w:tr>
      <w:tr w:rsidR="008F2450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Sentiment Score Trend</w:t>
            </w:r>
          </w:p>
        </w:tc>
        <w:tc>
          <w:tcPr>
            <w:tcW w:w="23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Mean Sentiment_Score</w:t>
            </w:r>
            <w:bookmarkStart w:id="0" w:name="_GoBack"/>
            <w:bookmarkEnd w:id="0"/>
            <w:r>
              <w:rPr>
                <w:color w:val="262626"/>
                <w:sz w:val="18"/>
                <w:szCs w:val="18"/>
              </w:rPr>
              <w:t xml:space="preserve"> by congestion tier / weather</w:t>
            </w:r>
          </w:p>
        </w:tc>
        <w:tc>
          <w:tcPr>
            <w:tcW w:w="150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F2450" w:rsidRDefault="00083A8A">
            <w:r>
              <w:rPr>
                <w:color w:val="262626"/>
                <w:sz w:val="18"/>
                <w:szCs w:val="18"/>
              </w:rPr>
              <w:t>Proxy for commuter experience quality under different conditions</w:t>
            </w:r>
          </w:p>
        </w:tc>
      </w:tr>
    </w:tbl>
    <w:p w:rsidR="008F2450" w:rsidRDefault="008F2450">
      <w:pPr>
        <w:spacing w:after="200"/>
      </w:pPr>
    </w:p>
    <w:p w:rsidR="008F2450" w:rsidRDefault="00083A8A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How These KPIs Are Used Together</w:t>
      </w:r>
    </w:p>
    <w:p w:rsidR="008F2450" w:rsidRDefault="00083A8A">
      <w:pPr>
        <w:spacing w:after="120"/>
      </w:pPr>
      <w:r>
        <w:rPr>
          <w:color w:val="262626"/>
          <w:sz w:val="21"/>
          <w:szCs w:val="21"/>
        </w:rPr>
        <w:t>The Roads KPIs quantify where and why severe accidents happen; the Mobility KPIs quantify how traffic actually flows and what it costs in emissions and ener</w:t>
      </w:r>
      <w:r>
        <w:rPr>
          <w:color w:val="262626"/>
          <w:sz w:val="21"/>
          <w:szCs w:val="21"/>
        </w:rPr>
        <w:t>gy. Read side by side, they let a city compare a location's accident risk against its congestion and environmental profile — supporting joint road-safety and traffic-management decisions rather than two disconnected reports.</w:t>
      </w:r>
    </w:p>
    <w:sectPr w:rsidR="008F245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2E1DF1"/>
    <w:multiLevelType w:val="hybridMultilevel"/>
    <w:tmpl w:val="9A6478DC"/>
    <w:lvl w:ilvl="0" w:tplc="F2DA4022">
      <w:start w:val="1"/>
      <w:numFmt w:val="bullet"/>
      <w:lvlText w:val="●"/>
      <w:lvlJc w:val="left"/>
      <w:pPr>
        <w:ind w:left="720" w:hanging="360"/>
      </w:pPr>
    </w:lvl>
    <w:lvl w:ilvl="1" w:tplc="BC5C8A76">
      <w:start w:val="1"/>
      <w:numFmt w:val="bullet"/>
      <w:lvlText w:val="○"/>
      <w:lvlJc w:val="left"/>
      <w:pPr>
        <w:ind w:left="1440" w:hanging="360"/>
      </w:pPr>
    </w:lvl>
    <w:lvl w:ilvl="2" w:tplc="66C02D84">
      <w:start w:val="1"/>
      <w:numFmt w:val="bullet"/>
      <w:lvlText w:val="■"/>
      <w:lvlJc w:val="left"/>
      <w:pPr>
        <w:ind w:left="2160" w:hanging="360"/>
      </w:pPr>
    </w:lvl>
    <w:lvl w:ilvl="3" w:tplc="98DE1972">
      <w:start w:val="1"/>
      <w:numFmt w:val="bullet"/>
      <w:lvlText w:val="●"/>
      <w:lvlJc w:val="left"/>
      <w:pPr>
        <w:ind w:left="2880" w:hanging="360"/>
      </w:pPr>
    </w:lvl>
    <w:lvl w:ilvl="4" w:tplc="AE9E54C2">
      <w:start w:val="1"/>
      <w:numFmt w:val="bullet"/>
      <w:lvlText w:val="○"/>
      <w:lvlJc w:val="left"/>
      <w:pPr>
        <w:ind w:left="3600" w:hanging="360"/>
      </w:pPr>
    </w:lvl>
    <w:lvl w:ilvl="5" w:tplc="067886E6">
      <w:start w:val="1"/>
      <w:numFmt w:val="bullet"/>
      <w:lvlText w:val="■"/>
      <w:lvlJc w:val="left"/>
      <w:pPr>
        <w:ind w:left="4320" w:hanging="360"/>
      </w:pPr>
    </w:lvl>
    <w:lvl w:ilvl="6" w:tplc="B078844E">
      <w:start w:val="1"/>
      <w:numFmt w:val="bullet"/>
      <w:lvlText w:val="●"/>
      <w:lvlJc w:val="left"/>
      <w:pPr>
        <w:ind w:left="5040" w:hanging="360"/>
      </w:pPr>
    </w:lvl>
    <w:lvl w:ilvl="7" w:tplc="1A0EF47E">
      <w:start w:val="1"/>
      <w:numFmt w:val="bullet"/>
      <w:lvlText w:val="●"/>
      <w:lvlJc w:val="left"/>
      <w:pPr>
        <w:ind w:left="5760" w:hanging="360"/>
      </w:pPr>
    </w:lvl>
    <w:lvl w:ilvl="8" w:tplc="1FE617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50"/>
    <w:rsid w:val="00083A8A"/>
    <w:rsid w:val="008F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371E08-AE14-4424-9C03-0FB7EAFC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2026-09-06T08:49:00Z</dcterms:created>
  <dcterms:modified xsi:type="dcterms:W3CDTF">2026-09-06T08:52:00Z</dcterms:modified>
</cp:coreProperties>
</file>