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244D" w:rsidRDefault="00CD6C3C">
      <w:pPr>
        <w:spacing w:after="40"/>
        <w:jc w:val="center"/>
      </w:pPr>
      <w:r>
        <w:rPr>
          <w:b/>
          <w:bCs/>
          <w:color w:val="1F3864"/>
          <w:sz w:val="40"/>
          <w:szCs w:val="40"/>
        </w:rPr>
        <w:t>Smart City Traffic Analytics</w:t>
      </w:r>
    </w:p>
    <w:p w:rsidR="000D244D" w:rsidRDefault="00CD6C3C">
      <w:pPr>
        <w:spacing w:after="200"/>
        <w:jc w:val="center"/>
      </w:pPr>
      <w:r>
        <w:rPr>
          <w:b/>
          <w:bCs/>
          <w:color w:val="2E74B5"/>
          <w:sz w:val="24"/>
          <w:szCs w:val="24"/>
        </w:rPr>
        <w:t>Project Stakeholders</w:t>
      </w:r>
    </w:p>
    <w:p w:rsidR="000D244D" w:rsidRDefault="00CD6C3C">
      <w:pPr>
        <w:pStyle w:val="Heading1"/>
        <w:pBdr>
          <w:bottom w:val="single" w:sz="6" w:space="4" w:color="2E74B5"/>
        </w:pBdr>
        <w:spacing w:before="260" w:after="120"/>
      </w:pPr>
      <w:r>
        <w:rPr>
          <w:b/>
          <w:bCs/>
          <w:color w:val="1F3864"/>
          <w:sz w:val="26"/>
          <w:szCs w:val="26"/>
        </w:rPr>
        <w:t>Stakeholders — Indian Roads Accident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4172"/>
        <w:gridCol w:w="3963"/>
      </w:tblGrid>
      <w:tr w:rsidR="000D244D">
        <w:tblPrEx>
          <w:tblCellMar>
            <w:top w:w="0" w:type="dxa"/>
            <w:bottom w:w="0" w:type="dxa"/>
          </w:tblCellMar>
        </w:tblPrEx>
        <w:trPr>
          <w:tblHeader/>
        </w:trPr>
        <w:tc>
          <w:tcPr>
            <w:tcW w:w="1100" w:type="pct"/>
            <w:shd w:val="clear" w:color="auto" w:fill="1F3864"/>
            <w:tcMar>
              <w:top w:w="80" w:type="dxa"/>
              <w:left w:w="100" w:type="dxa"/>
              <w:bottom w:w="80" w:type="dxa"/>
              <w:right w:w="100" w:type="dxa"/>
            </w:tcMar>
            <w:vAlign w:val="center"/>
          </w:tcPr>
          <w:p w:rsidR="000D244D" w:rsidRDefault="00CD6C3C">
            <w:r>
              <w:rPr>
                <w:b/>
                <w:bCs/>
                <w:color w:val="FFFFFF"/>
                <w:sz w:val="18"/>
                <w:szCs w:val="18"/>
              </w:rPr>
              <w:t>Stakeholder</w:t>
            </w:r>
          </w:p>
        </w:tc>
        <w:tc>
          <w:tcPr>
            <w:tcW w:w="2000" w:type="pct"/>
            <w:shd w:val="clear" w:color="auto" w:fill="1F3864"/>
            <w:tcMar>
              <w:top w:w="80" w:type="dxa"/>
              <w:left w:w="100" w:type="dxa"/>
              <w:bottom w:w="80" w:type="dxa"/>
              <w:right w:w="100" w:type="dxa"/>
            </w:tcMar>
            <w:vAlign w:val="center"/>
          </w:tcPr>
          <w:p w:rsidR="000D244D" w:rsidRDefault="00CD6C3C">
            <w:r>
              <w:rPr>
                <w:b/>
                <w:bCs/>
                <w:color w:val="FFFFFF"/>
                <w:sz w:val="18"/>
                <w:szCs w:val="18"/>
              </w:rPr>
              <w:t>Interest / Role</w:t>
            </w:r>
          </w:p>
        </w:tc>
        <w:tc>
          <w:tcPr>
            <w:tcW w:w="1900" w:type="pct"/>
            <w:shd w:val="clear" w:color="auto" w:fill="1F3864"/>
            <w:tcMar>
              <w:top w:w="80" w:type="dxa"/>
              <w:left w:w="100" w:type="dxa"/>
              <w:bottom w:w="80" w:type="dxa"/>
              <w:right w:w="100" w:type="dxa"/>
            </w:tcMar>
            <w:vAlign w:val="center"/>
          </w:tcPr>
          <w:p w:rsidR="000D244D" w:rsidRDefault="00CD6C3C">
            <w:r>
              <w:rPr>
                <w:b/>
                <w:bCs/>
                <w:color w:val="FFFFFF"/>
                <w:sz w:val="18"/>
                <w:szCs w:val="18"/>
              </w:rPr>
              <w:t>What They Need From This Analysis</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State/City Traffic Police</w:t>
            </w:r>
          </w:p>
        </w:tc>
        <w:tc>
          <w:tcPr>
            <w:tcW w:w="2000" w:type="pct"/>
            <w:tcMar>
              <w:top w:w="80" w:type="dxa"/>
              <w:left w:w="100" w:type="dxa"/>
              <w:bottom w:w="80" w:type="dxa"/>
              <w:right w:w="100" w:type="dxa"/>
            </w:tcMar>
            <w:vAlign w:val="center"/>
          </w:tcPr>
          <w:p w:rsidR="000D244D" w:rsidRDefault="00CD6C3C">
            <w:r>
              <w:rPr>
                <w:color w:val="262626"/>
                <w:sz w:val="18"/>
                <w:szCs w:val="18"/>
              </w:rPr>
              <w:t>Enforce speed limits, drunk-driving laws, and manage patrol deployment</w:t>
            </w:r>
          </w:p>
        </w:tc>
        <w:tc>
          <w:tcPr>
            <w:tcW w:w="1900" w:type="pct"/>
            <w:tcMar>
              <w:top w:w="80" w:type="dxa"/>
              <w:left w:w="100" w:type="dxa"/>
              <w:bottom w:w="80" w:type="dxa"/>
              <w:right w:w="100" w:type="dxa"/>
            </w:tcMar>
            <w:vAlign w:val="center"/>
          </w:tcPr>
          <w:p w:rsidR="000D244D" w:rsidRDefault="00CD6C3C">
            <w:r>
              <w:rPr>
                <w:color w:val="262626"/>
                <w:sz w:val="18"/>
                <w:szCs w:val="18"/>
              </w:rPr>
              <w:t>Ranked list of high-risk locations, hours, and causes to target enforcement</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Municipal Road &amp; Transport Authorities</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Plan and fund road infrastructure, signage, and traffic-signal upgrades</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Evidence linking road_type, lanes, and traffic_signal presence to severity</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State Transport Departments</w:t>
            </w:r>
          </w:p>
        </w:tc>
        <w:tc>
          <w:tcPr>
            <w:tcW w:w="2000" w:type="pct"/>
            <w:tcMar>
              <w:top w:w="80" w:type="dxa"/>
              <w:left w:w="100" w:type="dxa"/>
              <w:bottom w:w="80" w:type="dxa"/>
              <w:right w:w="100" w:type="dxa"/>
            </w:tcMar>
            <w:vAlign w:val="center"/>
          </w:tcPr>
          <w:p w:rsidR="000D244D" w:rsidRDefault="00CD6C3C">
            <w:r>
              <w:rPr>
                <w:color w:val="262626"/>
                <w:sz w:val="18"/>
                <w:szCs w:val="18"/>
              </w:rPr>
              <w:t>Set regional road-safety policy and driver-licensing standards</w:t>
            </w:r>
          </w:p>
        </w:tc>
        <w:tc>
          <w:tcPr>
            <w:tcW w:w="1900" w:type="pct"/>
            <w:tcMar>
              <w:top w:w="80" w:type="dxa"/>
              <w:left w:w="100" w:type="dxa"/>
              <w:bottom w:w="80" w:type="dxa"/>
              <w:right w:w="100" w:type="dxa"/>
            </w:tcMar>
            <w:vAlign w:val="center"/>
          </w:tcPr>
          <w:p w:rsidR="000D244D" w:rsidRDefault="00CD6C3C">
            <w:r>
              <w:rPr>
                <w:color w:val="262626"/>
                <w:sz w:val="18"/>
                <w:szCs w:val="18"/>
              </w:rPr>
              <w:t>City/state-level trend data on causes (over speeding</w:t>
            </w:r>
            <w:bookmarkStart w:id="0" w:name="_GoBack"/>
            <w:bookmarkEnd w:id="0"/>
            <w:r>
              <w:rPr>
                <w:color w:val="262626"/>
                <w:sz w:val="18"/>
                <w:szCs w:val="18"/>
              </w:rPr>
              <w:t>, drunk driving, distraction)</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Insurance Companies</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Price motor insurance premiums and assess claim risk</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Risk-scoring inputs (city, road type, weather, time) to refine actuarial models</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Road Safety NGOs &amp; Policymakers</w:t>
            </w:r>
          </w:p>
        </w:tc>
        <w:tc>
          <w:tcPr>
            <w:tcW w:w="2000" w:type="pct"/>
            <w:tcMar>
              <w:top w:w="80" w:type="dxa"/>
              <w:left w:w="100" w:type="dxa"/>
              <w:bottom w:w="80" w:type="dxa"/>
              <w:right w:w="100" w:type="dxa"/>
            </w:tcMar>
            <w:vAlign w:val="center"/>
          </w:tcPr>
          <w:p w:rsidR="000D244D" w:rsidRDefault="00CD6C3C">
            <w:r>
              <w:rPr>
                <w:color w:val="262626"/>
                <w:sz w:val="18"/>
                <w:szCs w:val="18"/>
              </w:rPr>
              <w:t>Design public awareness campaigns and push safety regulation</w:t>
            </w:r>
          </w:p>
        </w:tc>
        <w:tc>
          <w:tcPr>
            <w:tcW w:w="1900" w:type="pct"/>
            <w:tcMar>
              <w:top w:w="80" w:type="dxa"/>
              <w:left w:w="100" w:type="dxa"/>
              <w:bottom w:w="80" w:type="dxa"/>
              <w:right w:w="100" w:type="dxa"/>
            </w:tcMar>
            <w:vAlign w:val="center"/>
          </w:tcPr>
          <w:p w:rsidR="000D244D" w:rsidRDefault="00CD6C3C">
            <w:r>
              <w:rPr>
                <w:color w:val="262626"/>
                <w:sz w:val="18"/>
                <w:szCs w:val="18"/>
              </w:rPr>
              <w:t>Casualty and cause breakdowns to justify campaign focus areas</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Emergency &amp; Medical Services</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Position ambulances and trauma response near high-incident zones</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Geographic and time-of-day hotspots for fatal/major accidents</w:t>
            </w:r>
          </w:p>
        </w:tc>
      </w:tr>
    </w:tbl>
    <w:p w:rsidR="000D244D" w:rsidRDefault="000D244D">
      <w:pPr>
        <w:spacing w:after="200"/>
      </w:pPr>
    </w:p>
    <w:p w:rsidR="000D244D" w:rsidRDefault="00CD6C3C">
      <w:pPr>
        <w:pStyle w:val="Heading1"/>
        <w:pBdr>
          <w:bottom w:val="single" w:sz="6" w:space="4" w:color="2E74B5"/>
        </w:pBdr>
        <w:spacing w:before="260" w:after="120"/>
      </w:pPr>
      <w:r>
        <w:rPr>
          <w:b/>
          <w:bCs/>
          <w:color w:val="1F3864"/>
          <w:sz w:val="26"/>
          <w:szCs w:val="26"/>
        </w:rPr>
        <w:t>Stakeholders — Smart Mobility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5"/>
        <w:gridCol w:w="4172"/>
        <w:gridCol w:w="3963"/>
      </w:tblGrid>
      <w:tr w:rsidR="000D244D">
        <w:tblPrEx>
          <w:tblCellMar>
            <w:top w:w="0" w:type="dxa"/>
            <w:bottom w:w="0" w:type="dxa"/>
          </w:tblCellMar>
        </w:tblPrEx>
        <w:trPr>
          <w:tblHeader/>
        </w:trPr>
        <w:tc>
          <w:tcPr>
            <w:tcW w:w="1100" w:type="pct"/>
            <w:shd w:val="clear" w:color="auto" w:fill="1F3864"/>
            <w:tcMar>
              <w:top w:w="80" w:type="dxa"/>
              <w:left w:w="100" w:type="dxa"/>
              <w:bottom w:w="80" w:type="dxa"/>
              <w:right w:w="100" w:type="dxa"/>
            </w:tcMar>
            <w:vAlign w:val="center"/>
          </w:tcPr>
          <w:p w:rsidR="000D244D" w:rsidRDefault="00CD6C3C">
            <w:r>
              <w:rPr>
                <w:b/>
                <w:bCs/>
                <w:color w:val="FFFFFF"/>
                <w:sz w:val="18"/>
                <w:szCs w:val="18"/>
              </w:rPr>
              <w:t>Stakeholder</w:t>
            </w:r>
          </w:p>
        </w:tc>
        <w:tc>
          <w:tcPr>
            <w:tcW w:w="2000" w:type="pct"/>
            <w:shd w:val="clear" w:color="auto" w:fill="1F3864"/>
            <w:tcMar>
              <w:top w:w="80" w:type="dxa"/>
              <w:left w:w="100" w:type="dxa"/>
              <w:bottom w:w="80" w:type="dxa"/>
              <w:right w:w="100" w:type="dxa"/>
            </w:tcMar>
            <w:vAlign w:val="center"/>
          </w:tcPr>
          <w:p w:rsidR="000D244D" w:rsidRDefault="00CD6C3C">
            <w:r>
              <w:rPr>
                <w:b/>
                <w:bCs/>
                <w:color w:val="FFFFFF"/>
                <w:sz w:val="18"/>
                <w:szCs w:val="18"/>
              </w:rPr>
              <w:t>Interest / Role</w:t>
            </w:r>
          </w:p>
        </w:tc>
        <w:tc>
          <w:tcPr>
            <w:tcW w:w="1900" w:type="pct"/>
            <w:shd w:val="clear" w:color="auto" w:fill="1F3864"/>
            <w:tcMar>
              <w:top w:w="80" w:type="dxa"/>
              <w:left w:w="100" w:type="dxa"/>
              <w:bottom w:w="80" w:type="dxa"/>
              <w:right w:w="100" w:type="dxa"/>
            </w:tcMar>
            <w:vAlign w:val="center"/>
          </w:tcPr>
          <w:p w:rsidR="000D244D" w:rsidRDefault="00CD6C3C">
            <w:r>
              <w:rPr>
                <w:b/>
                <w:bCs/>
                <w:color w:val="FFFFFF"/>
                <w:sz w:val="18"/>
                <w:szCs w:val="18"/>
              </w:rPr>
              <w:t>What They Need From This Analysis</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City Traffic Control Centers</w:t>
            </w:r>
          </w:p>
        </w:tc>
        <w:tc>
          <w:tcPr>
            <w:tcW w:w="2000" w:type="pct"/>
            <w:tcMar>
              <w:top w:w="80" w:type="dxa"/>
              <w:left w:w="100" w:type="dxa"/>
              <w:bottom w:w="80" w:type="dxa"/>
              <w:right w:w="100" w:type="dxa"/>
            </w:tcMar>
            <w:vAlign w:val="center"/>
          </w:tcPr>
          <w:p w:rsidR="000D244D" w:rsidRDefault="00CD6C3C">
            <w:r>
              <w:rPr>
                <w:color w:val="262626"/>
                <w:sz w:val="18"/>
                <w:szCs w:val="18"/>
              </w:rPr>
              <w:t>Monitor live conditions and manage signal timing / incident response</w:t>
            </w:r>
          </w:p>
        </w:tc>
        <w:tc>
          <w:tcPr>
            <w:tcW w:w="1900" w:type="pct"/>
            <w:tcMar>
              <w:top w:w="80" w:type="dxa"/>
              <w:left w:w="100" w:type="dxa"/>
              <w:bottom w:w="80" w:type="dxa"/>
              <w:right w:w="100" w:type="dxa"/>
            </w:tcMar>
            <w:vAlign w:val="center"/>
          </w:tcPr>
          <w:p w:rsidR="000D244D" w:rsidRDefault="00CD6C3C">
            <w:r>
              <w:rPr>
                <w:color w:val="262626"/>
                <w:sz w:val="18"/>
                <w:szCs w:val="18"/>
              </w:rPr>
              <w:t>Real-time congestion thresholds and conditions that precede High traffic</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Urban &amp; Transport Planners</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Plan road capacity, public transit routes, and infrastructure investment</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Occupancy-vs-speed relationships to identify capacity bottlenecks</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Ride-Sharing &amp; Logistics Companies</w:t>
            </w:r>
          </w:p>
        </w:tc>
        <w:tc>
          <w:tcPr>
            <w:tcW w:w="2000" w:type="pct"/>
            <w:tcMar>
              <w:top w:w="80" w:type="dxa"/>
              <w:left w:w="100" w:type="dxa"/>
              <w:bottom w:w="80" w:type="dxa"/>
              <w:right w:w="100" w:type="dxa"/>
            </w:tcMar>
            <w:vAlign w:val="center"/>
          </w:tcPr>
          <w:p w:rsidR="000D244D" w:rsidRDefault="00CD6C3C">
            <w:r>
              <w:rPr>
                <w:color w:val="262626"/>
                <w:sz w:val="18"/>
                <w:szCs w:val="18"/>
              </w:rPr>
              <w:t>Position drivers/fleets to match rider and delivery demand</w:t>
            </w:r>
          </w:p>
        </w:tc>
        <w:tc>
          <w:tcPr>
            <w:tcW w:w="1900" w:type="pct"/>
            <w:tcMar>
              <w:top w:w="80" w:type="dxa"/>
              <w:left w:w="100" w:type="dxa"/>
              <w:bottom w:w="80" w:type="dxa"/>
              <w:right w:w="100" w:type="dxa"/>
            </w:tcMar>
            <w:vAlign w:val="center"/>
          </w:tcPr>
          <w:p w:rsidR="000D244D" w:rsidRDefault="00CD6C3C">
            <w:r>
              <w:rPr>
                <w:color w:val="262626"/>
                <w:sz w:val="18"/>
                <w:szCs w:val="18"/>
              </w:rPr>
              <w:t>Ride-sharing demand patterns by hour and location</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Environmental / Pollution Control Boards</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Monitor and regulate vehicle emissions in urban areas</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Emissions and energy consumption trends by congestion level</w:t>
            </w:r>
          </w:p>
        </w:tc>
      </w:tr>
      <w:tr w:rsidR="000D244D">
        <w:tblPrEx>
          <w:tblCellMar>
            <w:top w:w="0" w:type="dxa"/>
            <w:bottom w:w="0" w:type="dxa"/>
          </w:tblCellMar>
        </w:tblPrEx>
        <w:tc>
          <w:tcPr>
            <w:tcW w:w="1100" w:type="pct"/>
            <w:tcMar>
              <w:top w:w="80" w:type="dxa"/>
              <w:left w:w="100" w:type="dxa"/>
              <w:bottom w:w="80" w:type="dxa"/>
              <w:right w:w="100" w:type="dxa"/>
            </w:tcMar>
            <w:vAlign w:val="center"/>
          </w:tcPr>
          <w:p w:rsidR="000D244D" w:rsidRDefault="00CD6C3C">
            <w:r>
              <w:rPr>
                <w:color w:val="262626"/>
                <w:sz w:val="18"/>
                <w:szCs w:val="18"/>
              </w:rPr>
              <w:t>Parking Authorities</w:t>
            </w:r>
          </w:p>
        </w:tc>
        <w:tc>
          <w:tcPr>
            <w:tcW w:w="2000" w:type="pct"/>
            <w:tcMar>
              <w:top w:w="80" w:type="dxa"/>
              <w:left w:w="100" w:type="dxa"/>
              <w:bottom w:w="80" w:type="dxa"/>
              <w:right w:w="100" w:type="dxa"/>
            </w:tcMar>
            <w:vAlign w:val="center"/>
          </w:tcPr>
          <w:p w:rsidR="000D244D" w:rsidRDefault="00CD6C3C">
            <w:r>
              <w:rPr>
                <w:color w:val="262626"/>
                <w:sz w:val="18"/>
                <w:szCs w:val="18"/>
              </w:rPr>
              <w:t>Manage public parking supply and pricing</w:t>
            </w:r>
          </w:p>
        </w:tc>
        <w:tc>
          <w:tcPr>
            <w:tcW w:w="1900" w:type="pct"/>
            <w:tcMar>
              <w:top w:w="80" w:type="dxa"/>
              <w:left w:w="100" w:type="dxa"/>
              <w:bottom w:w="80" w:type="dxa"/>
              <w:right w:w="100" w:type="dxa"/>
            </w:tcMar>
            <w:vAlign w:val="center"/>
          </w:tcPr>
          <w:p w:rsidR="000D244D" w:rsidRDefault="00CD6C3C">
            <w:r>
              <w:rPr>
                <w:color w:val="262626"/>
                <w:sz w:val="18"/>
                <w:szCs w:val="18"/>
              </w:rPr>
              <w:t>Parking availability vs. demand gaps by time window</w:t>
            </w:r>
          </w:p>
        </w:tc>
      </w:tr>
      <w:tr w:rsidR="000D244D">
        <w:tblPrEx>
          <w:tblCellMar>
            <w:top w:w="0" w:type="dxa"/>
            <w:bottom w:w="0" w:type="dxa"/>
          </w:tblCellMar>
        </w:tblPrEx>
        <w:tc>
          <w:tcPr>
            <w:tcW w:w="1100" w:type="pct"/>
            <w:shd w:val="clear" w:color="auto" w:fill="F2F2F2"/>
            <w:tcMar>
              <w:top w:w="80" w:type="dxa"/>
              <w:left w:w="100" w:type="dxa"/>
              <w:bottom w:w="80" w:type="dxa"/>
              <w:right w:w="100" w:type="dxa"/>
            </w:tcMar>
            <w:vAlign w:val="center"/>
          </w:tcPr>
          <w:p w:rsidR="000D244D" w:rsidRDefault="00CD6C3C">
            <w:r>
              <w:rPr>
                <w:color w:val="262626"/>
                <w:sz w:val="18"/>
                <w:szCs w:val="18"/>
              </w:rPr>
              <w:t>City Residents / Commuters (indirect)</w:t>
            </w:r>
          </w:p>
        </w:tc>
        <w:tc>
          <w:tcPr>
            <w:tcW w:w="2000" w:type="pct"/>
            <w:shd w:val="clear" w:color="auto" w:fill="F2F2F2"/>
            <w:tcMar>
              <w:top w:w="80" w:type="dxa"/>
              <w:left w:w="100" w:type="dxa"/>
              <w:bottom w:w="80" w:type="dxa"/>
              <w:right w:w="100" w:type="dxa"/>
            </w:tcMar>
            <w:vAlign w:val="center"/>
          </w:tcPr>
          <w:p w:rsidR="000D244D" w:rsidRDefault="00CD6C3C">
            <w:r>
              <w:rPr>
                <w:color w:val="262626"/>
                <w:sz w:val="18"/>
                <w:szCs w:val="18"/>
              </w:rPr>
              <w:t>Experience daily commute quality and travel time</w:t>
            </w:r>
          </w:p>
        </w:tc>
        <w:tc>
          <w:tcPr>
            <w:tcW w:w="1900" w:type="pct"/>
            <w:shd w:val="clear" w:color="auto" w:fill="F2F2F2"/>
            <w:tcMar>
              <w:top w:w="80" w:type="dxa"/>
              <w:left w:w="100" w:type="dxa"/>
              <w:bottom w:w="80" w:type="dxa"/>
              <w:right w:w="100" w:type="dxa"/>
            </w:tcMar>
            <w:vAlign w:val="center"/>
          </w:tcPr>
          <w:p w:rsidR="000D244D" w:rsidRDefault="00CD6C3C">
            <w:r>
              <w:rPr>
                <w:color w:val="262626"/>
                <w:sz w:val="18"/>
                <w:szCs w:val="18"/>
              </w:rPr>
              <w:t>Sentiment and congestion trends that reflect commuter experience</w:t>
            </w:r>
          </w:p>
        </w:tc>
      </w:tr>
    </w:tbl>
    <w:p w:rsidR="000D244D" w:rsidRDefault="000D244D">
      <w:pPr>
        <w:spacing w:after="200"/>
      </w:pPr>
    </w:p>
    <w:p w:rsidR="000D244D" w:rsidRDefault="00CD6C3C">
      <w:pPr>
        <w:pStyle w:val="Heading1"/>
        <w:pBdr>
          <w:bottom w:val="single" w:sz="6" w:space="4" w:color="2E74B5"/>
        </w:pBdr>
        <w:spacing w:before="260" w:after="120"/>
      </w:pPr>
      <w:r>
        <w:rPr>
          <w:b/>
          <w:bCs/>
          <w:color w:val="1F3864"/>
          <w:sz w:val="26"/>
          <w:szCs w:val="26"/>
        </w:rPr>
        <w:t>Cross-Cutting Stakeholder — City Government / Smart City Mission</w:t>
      </w:r>
    </w:p>
    <w:p w:rsidR="000D244D" w:rsidRDefault="00CD6C3C">
      <w:pPr>
        <w:spacing w:after="120"/>
      </w:pPr>
      <w:r>
        <w:rPr>
          <w:color w:val="262626"/>
          <w:sz w:val="21"/>
          <w:szCs w:val="21"/>
        </w:rPr>
        <w:t>Sitting above both datasets is the city administration itself, which is accountable for both road safety outcomes and traffic efficiency as part of broader Smart City initiatives. This stakeholder needs the two analyses combined — accident risk zones along</w:t>
      </w:r>
      <w:r>
        <w:rPr>
          <w:color w:val="262626"/>
          <w:sz w:val="21"/>
          <w:szCs w:val="21"/>
        </w:rPr>
        <w:t>side congestion and emissions data — to prioritize budget between enforcement, infrastructure, and smart-traffic technology investment.</w:t>
      </w:r>
    </w:p>
    <w:sectPr w:rsidR="000D244D">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E54A5"/>
    <w:multiLevelType w:val="hybridMultilevel"/>
    <w:tmpl w:val="0F2C4AE8"/>
    <w:lvl w:ilvl="0" w:tplc="39F4CCCE">
      <w:start w:val="1"/>
      <w:numFmt w:val="bullet"/>
      <w:lvlText w:val="●"/>
      <w:lvlJc w:val="left"/>
      <w:pPr>
        <w:ind w:left="720" w:hanging="360"/>
      </w:pPr>
    </w:lvl>
    <w:lvl w:ilvl="1" w:tplc="BA82B3C4">
      <w:start w:val="1"/>
      <w:numFmt w:val="bullet"/>
      <w:lvlText w:val="○"/>
      <w:lvlJc w:val="left"/>
      <w:pPr>
        <w:ind w:left="1440" w:hanging="360"/>
      </w:pPr>
    </w:lvl>
    <w:lvl w:ilvl="2" w:tplc="EB78D838">
      <w:start w:val="1"/>
      <w:numFmt w:val="bullet"/>
      <w:lvlText w:val="■"/>
      <w:lvlJc w:val="left"/>
      <w:pPr>
        <w:ind w:left="2160" w:hanging="360"/>
      </w:pPr>
    </w:lvl>
    <w:lvl w:ilvl="3" w:tplc="71D2235A">
      <w:start w:val="1"/>
      <w:numFmt w:val="bullet"/>
      <w:lvlText w:val="●"/>
      <w:lvlJc w:val="left"/>
      <w:pPr>
        <w:ind w:left="2880" w:hanging="360"/>
      </w:pPr>
    </w:lvl>
    <w:lvl w:ilvl="4" w:tplc="A8FA1E2A">
      <w:start w:val="1"/>
      <w:numFmt w:val="bullet"/>
      <w:lvlText w:val="○"/>
      <w:lvlJc w:val="left"/>
      <w:pPr>
        <w:ind w:left="3600" w:hanging="360"/>
      </w:pPr>
    </w:lvl>
    <w:lvl w:ilvl="5" w:tplc="A09AC580">
      <w:start w:val="1"/>
      <w:numFmt w:val="bullet"/>
      <w:lvlText w:val="■"/>
      <w:lvlJc w:val="left"/>
      <w:pPr>
        <w:ind w:left="4320" w:hanging="360"/>
      </w:pPr>
    </w:lvl>
    <w:lvl w:ilvl="6" w:tplc="6D7EF70A">
      <w:start w:val="1"/>
      <w:numFmt w:val="bullet"/>
      <w:lvlText w:val="●"/>
      <w:lvlJc w:val="left"/>
      <w:pPr>
        <w:ind w:left="5040" w:hanging="360"/>
      </w:pPr>
    </w:lvl>
    <w:lvl w:ilvl="7" w:tplc="C0283A9E">
      <w:start w:val="1"/>
      <w:numFmt w:val="bullet"/>
      <w:lvlText w:val="●"/>
      <w:lvlJc w:val="left"/>
      <w:pPr>
        <w:ind w:left="5760" w:hanging="360"/>
      </w:pPr>
    </w:lvl>
    <w:lvl w:ilvl="8" w:tplc="17A68E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44D"/>
    <w:rsid w:val="000D244D"/>
    <w:rsid w:val="00CD6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F87B4B-E514-4069-A97D-C6B32052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2026-09-06T08:58:00Z</dcterms:created>
  <dcterms:modified xsi:type="dcterms:W3CDTF">2026-09-06T09:00:00Z</dcterms:modified>
</cp:coreProperties>
</file>