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E6007E"/>
          <w:sz w:val="40"/>
          <w:szCs w:val="40"/>
        </w:rPr>
        <w:t xml:space="preserve">Instagram Performance Analytics for Sugar Cosmetics</w:t>
      </w:r>
    </w:p>
    <w:p>
      <w:pPr>
        <w:spacing w:after="200"/>
      </w:pPr>
      <w:r>
        <w:rPr>
          <w:color w:val="666666"/>
          <w:sz w:val="22"/>
          <w:szCs w:val="22"/>
        </w:rPr>
        <w:t xml:space="preserve">Insights Document · Data period 19 Apr 2024 – 19 Apr 2025 · 50,000 posts</w:t>
      </w:r>
    </w:p>
    <w:p>
      <w:pPr>
        <w:pStyle w:val="Heading1"/>
        <w:spacing w:after="120" w:before="280"/>
      </w:pPr>
      <w:r>
        <w:t xml:space="preserve">1. Executive summary</w:t>
      </w:r>
    </w:p>
    <w:p>
      <w:pPr>
        <w:spacing w:after="120"/>
      </w:pPr>
      <w:r>
        <w:t xml:space="preserve">The account is healthy and remarkably consistent: </w:t>
      </w:r>
      <w:r>
        <w:rPr>
          <w:b/>
          <w:bCs/>
        </w:rPr>
        <w:t xml:space="preserve">18.54% average engagement rate</w:t>
      </w:r>
      <w:r>
        <w:t xml:space="preserve">, 147.7M likes, 18.5M comments and 987M accounts reached across 50,000 posts. About </w:t>
      </w:r>
      <w:r>
        <w:rPr>
          <w:b/>
          <w:bCs/>
        </w:rPr>
        <w:t xml:space="preserve">29.9%</w:t>
      </w:r>
      <w:r>
        <w:t xml:space="preserve"> of profile visits become follows. The headline insight is that </w:t>
      </w:r>
      <w:r>
        <w:rPr>
          <w:b/>
          <w:bCs/>
        </w:rPr>
        <w:t xml:space="preserve">no post type, weekday, campaign, source or hashtag stands out statistically</w:t>
      </w:r>
      <w:r>
        <w:t xml:space="preserve"> (differences below 0.25 pp in most cases). Strategy should therefore focus on funnel depth (shares/saves), the Story-to-follow journey, paid efficiency and structured A/B testing rather than on switching formats.</w:t>
      </w:r>
    </w:p>
    <w:p>
      <w:pPr>
        <w:pStyle w:val="Heading1"/>
        <w:spacing w:after="120" w:before="280"/>
      </w:pPr>
      <w:r>
        <w:t xml:space="preserve">2. Data &amp; method</w:t>
      </w:r>
    </w:p>
    <w:p>
      <w:pPr>
        <w:pStyle w:val="ListParagraph"/>
        <w:numPr>
          <w:ilvl w:val="0"/>
          <w:numId w:val="2"/>
        </w:numPr>
        <w:spacing w:after="60"/>
      </w:pPr>
      <w:r>
        <w:t xml:space="preserve">Source: sugar_cosmetics_instagram_data.xlsx – 14 columns, 50,000 rows, no nulls, no duplicates; reach ≤ impressions on every row.</w:t>
      </w:r>
    </w:p>
    <w:p>
      <w:pPr>
        <w:pStyle w:val="ListParagraph"/>
        <w:numPr>
          <w:ilvl w:val="0"/>
          <w:numId w:val="2"/>
        </w:numPr>
        <w:spacing w:after="60"/>
      </w:pPr>
      <w:r>
        <w:t xml:space="preserve">Engagement rate (ER) = (likes + comments + shares + saves) ÷ reach × 100, computed per post and averaged.</w:t>
      </w:r>
    </w:p>
    <w:p>
      <w:pPr>
        <w:pStyle w:val="ListParagraph"/>
        <w:numPr>
          <w:ilvl w:val="0"/>
          <w:numId w:val="2"/>
        </w:numPr>
        <w:spacing w:after="60"/>
      </w:pPr>
      <w:r>
        <w:t xml:space="preserve">Added fields: month, weekday, interactions, ER, follow conversion (follows ÷ profile visits), hashtag count and an exploded hashtag table (100,044 post×hashtag rows).</w:t>
      </w:r>
    </w:p>
    <w:p>
      <w:pPr>
        <w:pStyle w:val="ListParagraph"/>
        <w:numPr>
          <w:ilvl w:val="0"/>
          <w:numId w:val="2"/>
        </w:numPr>
        <w:spacing w:after="60"/>
      </w:pPr>
      <w:r>
        <w:t xml:space="preserve">Significance: one-way ANOVA on per-post ER for each category.</w:t>
      </w:r>
    </w:p>
    <w:p>
      <w:pPr>
        <w:pStyle w:val="ListParagraph"/>
        <w:numPr>
          <w:ilvl w:val="0"/>
          <w:numId w:val="2"/>
        </w:numPr>
        <w:spacing w:after="60"/>
      </w:pPr>
      <w:r>
        <w:t xml:space="preserve">Limitations: no caption, posting time, spend or follower-count columns; no demographic fields (only “Audience Emotion”). Growth is proxied by follows. 50,000 posts in a year is implausible for one account, so the data is likely simulated/aggregated.</w:t>
      </w:r>
    </w:p>
    <w:p>
      <w:pPr>
        <w:pStyle w:val="Heading1"/>
        <w:spacing w:after="120" w:before="280"/>
      </w:pPr>
      <w:r>
        <w:t xml:space="preserve">3. Findings by task</w:t>
      </w:r>
    </w:p>
    <w:p>
      <w:pPr>
        <w:pStyle w:val="Heading2"/>
        <w:spacing w:after="80" w:before="200"/>
      </w:pPr>
      <w:r>
        <w:t xml:space="preserve">3.1 KPI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4"/>
              <w:left w:val="single" w:color="CCCCCC" w:sz="4"/>
              <w:bottom w:val="single" w:color="CCCCCC" w:sz="4"/>
              <w:right w:val="single" w:color="CCCCCC" w:sz="4"/>
            </w:tcBorders>
            <w:shd w:fill="E6007E" w:color="auto" w:val="clear"/>
            <w:tcMar>
              <w:top w:type="dxa" w:w="60"/>
              <w:left w:type="dxa" w:w="100"/>
              <w:bottom w:type="dxa" w:w="60"/>
              <w:right w:type="dxa" w:w="100"/>
            </w:tcMar>
          </w:tcPr>
          <w:p>
            <w:r>
              <w:rPr>
                <w:b/>
                <w:bCs/>
                <w:color w:val="FFFFFF"/>
                <w:sz w:val="19"/>
                <w:szCs w:val="19"/>
              </w:rPr>
              <w:t xml:space="preserve">KPI</w:t>
            </w:r>
          </w:p>
        </w:tc>
        <w:tc>
          <w:tcPr>
            <w:tcW w:type="dxa" w:w="5160"/>
            <w:tcBorders>
              <w:top w:val="single" w:color="CCCCCC" w:sz="4"/>
              <w:left w:val="single" w:color="CCCCCC" w:sz="4"/>
              <w:bottom w:val="single" w:color="CCCCCC" w:sz="4"/>
              <w:right w:val="single" w:color="CCCCCC" w:sz="4"/>
            </w:tcBorders>
            <w:shd w:fill="E6007E" w:color="auto" w:val="clear"/>
            <w:tcMar>
              <w:top w:type="dxa" w:w="60"/>
              <w:left w:type="dxa" w:w="100"/>
              <w:bottom w:type="dxa" w:w="60"/>
              <w:right w:type="dxa" w:w="100"/>
            </w:tcMar>
          </w:tcPr>
          <w:p>
            <w:r>
              <w:rPr>
                <w:b/>
                <w:bCs/>
                <w:color w:val="FFFFFF"/>
                <w:sz w:val="19"/>
                <w:szCs w:val="19"/>
              </w:rPr>
              <w:t xml:space="preserve">Value</w:t>
            </w:r>
          </w:p>
        </w:tc>
      </w:tr>
      <w:tr>
        <w:trPr>
          <w:tblHeader w:val="false"/>
        </w:trPr>
        <w:tc>
          <w:tcPr>
            <w:tcW w:type="dxa" w:w="4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color w:val="000000"/>
                <w:sz w:val="19"/>
                <w:szCs w:val="19"/>
              </w:rPr>
              <w:t xml:space="preserve">Total posts</w:t>
            </w:r>
          </w:p>
        </w:tc>
        <w:tc>
          <w:tcPr>
            <w:tcW w:type="dxa" w:w="51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color w:val="000000"/>
                <w:sz w:val="19"/>
                <w:szCs w:val="19"/>
              </w:rPr>
              <w:t xml:space="preserve">50,000</w:t>
            </w:r>
          </w:p>
        </w:tc>
      </w:tr>
      <w:tr>
        <w:trPr>
          <w:tblHeader w:val="false"/>
        </w:trPr>
        <w:tc>
          <w:tcPr>
            <w:tcW w:type="dxa" w:w="4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color w:val="000000"/>
                <w:sz w:val="19"/>
                <w:szCs w:val="19"/>
              </w:rPr>
              <w:t xml:space="preserve">Total likes</w:t>
            </w:r>
          </w:p>
        </w:tc>
        <w:tc>
          <w:tcPr>
            <w:tcW w:type="dxa" w:w="51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color w:val="000000"/>
                <w:sz w:val="19"/>
                <w:szCs w:val="19"/>
              </w:rPr>
              <w:t xml:space="preserve">147,728,279</w:t>
            </w:r>
          </w:p>
        </w:tc>
      </w:tr>
      <w:tr>
        <w:trPr>
          <w:tblHeader w:val="false"/>
        </w:trPr>
        <w:tc>
          <w:tcPr>
            <w:tcW w:type="dxa" w:w="4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color w:val="000000"/>
                <w:sz w:val="19"/>
                <w:szCs w:val="19"/>
              </w:rPr>
              <w:t xml:space="preserve">Total comments</w:t>
            </w:r>
          </w:p>
        </w:tc>
        <w:tc>
          <w:tcPr>
            <w:tcW w:type="dxa" w:w="51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color w:val="000000"/>
                <w:sz w:val="19"/>
                <w:szCs w:val="19"/>
              </w:rPr>
              <w:t xml:space="preserve">18,459,361</w:t>
            </w:r>
          </w:p>
        </w:tc>
      </w:tr>
      <w:tr>
        <w:trPr>
          <w:tblHeader w:val="false"/>
        </w:trPr>
        <w:tc>
          <w:tcPr>
            <w:tcW w:type="dxa" w:w="4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color w:val="000000"/>
                <w:sz w:val="19"/>
                <w:szCs w:val="19"/>
              </w:rPr>
              <w:t xml:space="preserve">Total shares / saves</w:t>
            </w:r>
          </w:p>
        </w:tc>
        <w:tc>
          <w:tcPr>
            <w:tcW w:type="dxa" w:w="51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color w:val="000000"/>
                <w:sz w:val="19"/>
                <w:szCs w:val="19"/>
              </w:rPr>
              <w:t xml:space="preserve">8,115,338 / 8,861,439</w:t>
            </w:r>
          </w:p>
        </w:tc>
      </w:tr>
      <w:tr>
        <w:trPr>
          <w:tblHeader w:val="false"/>
        </w:trPr>
        <w:tc>
          <w:tcPr>
            <w:tcW w:type="dxa" w:w="4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color w:val="000000"/>
                <w:sz w:val="19"/>
                <w:szCs w:val="19"/>
              </w:rPr>
              <w:t xml:space="preserve">Total reach / impressions</w:t>
            </w:r>
          </w:p>
        </w:tc>
        <w:tc>
          <w:tcPr>
            <w:tcW w:type="dxa" w:w="51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color w:val="000000"/>
                <w:sz w:val="19"/>
                <w:szCs w:val="19"/>
              </w:rPr>
              <w:t xml:space="preserve">987.4M / 1,276.0M</w:t>
            </w:r>
          </w:p>
        </w:tc>
      </w:tr>
      <w:tr>
        <w:trPr>
          <w:tblHeader w:val="false"/>
        </w:trPr>
        <w:tc>
          <w:tcPr>
            <w:tcW w:type="dxa" w:w="4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color w:val="000000"/>
                <w:sz w:val="19"/>
                <w:szCs w:val="19"/>
              </w:rPr>
              <w:t xml:space="preserve">Average engagement rate</w:t>
            </w:r>
          </w:p>
        </w:tc>
        <w:tc>
          <w:tcPr>
            <w:tcW w:type="dxa" w:w="51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color w:val="000000"/>
                <w:sz w:val="19"/>
                <w:szCs w:val="19"/>
              </w:rPr>
              <w:t xml:space="preserve">18.54%</w:t>
            </w:r>
          </w:p>
        </w:tc>
      </w:tr>
      <w:tr>
        <w:trPr>
          <w:tblHeader w:val="false"/>
        </w:trPr>
        <w:tc>
          <w:tcPr>
            <w:tcW w:type="dxa" w:w="4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color w:val="000000"/>
                <w:sz w:val="19"/>
                <w:szCs w:val="19"/>
              </w:rPr>
              <w:t xml:space="preserve">Profile visits → follows</w:t>
            </w:r>
          </w:p>
        </w:tc>
        <w:tc>
          <w:tcPr>
            <w:tcW w:type="dxa" w:w="51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color w:val="000000"/>
                <w:sz w:val="19"/>
                <w:szCs w:val="19"/>
              </w:rPr>
              <w:t xml:space="preserve">29.63M → 8.87M (29.9%)</w:t>
            </w:r>
          </w:p>
        </w:tc>
      </w:tr>
    </w:tbl>
    <w:p>
      <w:pPr>
        <w:pStyle w:val="Heading2"/>
        <w:spacing w:after="80" w:before="200"/>
      </w:pPr>
      <w:r>
        <w:t xml:space="preserve">3.2 Monthly posting trend</w:t>
      </w:r>
    </w:p>
    <w:p>
      <w:pPr>
        <w:spacing w:after="120"/>
      </w:pPr>
      <w:r>
        <w:t xml:space="preserve">Volume is steady at roughly 4,100–4,300 posts per full month (February dips to 3,930 because it is shorter). April 2024 (1,626) and April 2025 (2,460) are partial months because data spans 19 Apr – 19 Apr. Posting consistency is high; there is no seasonal ramp-up for festive periods.</w:t>
      </w:r>
    </w:p>
    <w:p>
      <w:pPr>
        <w:spacing w:after="120" w:before="80"/>
        <w:jc w:val="center"/>
      </w:pPr>
      <w:r>
        <w:drawing>
          <wp:inline distT="0" distB="0" distL="0" distR="0">
            <wp:extent cx="457200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238375"/>
                    </a:xfrm>
                    <a:prstGeom prst="rect">
                      <a:avLst/>
                    </a:prstGeom>
                  </pic:spPr>
                </pic:pic>
              </a:graphicData>
            </a:graphic>
          </wp:inline>
        </w:drawing>
      </w:r>
    </w:p>
    <w:p>
      <w:pPr>
        <w:pStyle w:val="Heading2"/>
        <w:spacing w:after="80" w:before="200"/>
      </w:pPr>
      <w:r>
        <w:t xml:space="preserve">3.3 and 3.4 Top posts by likes and by engagement rate</w:t>
      </w:r>
    </w:p>
    <w:p>
      <w:pPr>
        <w:spacing w:after="120"/>
      </w:pPr>
      <w:r>
        <w:t xml:space="preserve">The top 10 posts by engagement rate sit between 33.8% and 34.1%, nearly double the average, while the top-10 posts by likes (11,043–11,392 likes, about 3.8× the average post) all have very high reach (≈45,000 on average), so raw likes mostly track reach. The ER top 10 contains 4 videos, 2 images, 2 reels, 2 stories and every campaign type, so there is no repeatable creative pattern. Giveaway and Influencer-Collab posts account for 6 of the top 10 by likes, a pattern worth testing rather than relying on.</w:t>
      </w:r>
    </w:p>
    <w:p>
      <w:pPr>
        <w:spacing w:after="120" w:before="80"/>
        <w:jc w:val="center"/>
      </w:pPr>
      <w:r>
        <w:drawing>
          <wp:inline distT="0" distB="0" distL="0" distR="0">
            <wp:extent cx="4572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476500"/>
                    </a:xfrm>
                    <a:prstGeom prst="rect">
                      <a:avLst/>
                    </a:prstGeom>
                  </pic:spPr>
                </pic:pic>
              </a:graphicData>
            </a:graphic>
          </wp:inline>
        </w:drawing>
      </w:r>
    </w:p>
    <w:p>
      <w:pPr>
        <w:spacing w:after="120" w:before="80"/>
        <w:jc w:val="center"/>
      </w:pPr>
      <w:r>
        <w:drawing>
          <wp:inline distT="0" distB="0" distL="0" distR="0">
            <wp:extent cx="4572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476500"/>
                    </a:xfrm>
                    <a:prstGeom prst="rect">
                      <a:avLst/>
                    </a:prstGeom>
                  </pic:spPr>
                </pic:pic>
              </a:graphicData>
            </a:graphic>
          </wp:inline>
        </w:drawing>
      </w:r>
    </w:p>
    <w:p>
      <w:pPr>
        <w:pStyle w:val="Heading2"/>
        <w:spacing w:after="80" w:before="200"/>
      </w:pPr>
      <w:r>
        <w:t xml:space="preserve">3.5 Post type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60"/>
        <w:gridCol w:w="1800"/>
        <w:gridCol w:w="1400"/>
        <w:gridCol w:w="1400"/>
        <w:gridCol w:w="1400"/>
      </w:tblGrid>
      <w:tr>
        <w:trPr>
          <w:tblHeader/>
        </w:trPr>
        <w:tc>
          <w:tcPr>
            <w:tcW w:type="dxa" w:w="1800"/>
            <w:tcBorders>
              <w:top w:val="single" w:color="CCCCCC" w:sz="4"/>
              <w:left w:val="single" w:color="CCCCCC" w:sz="4"/>
              <w:bottom w:val="single" w:color="CCCCCC" w:sz="4"/>
              <w:right w:val="single" w:color="CCCCCC" w:sz="4"/>
            </w:tcBorders>
            <w:shd w:fill="E6007E" w:color="auto" w:val="clear"/>
            <w:tcMar>
              <w:top w:type="dxa" w:w="60"/>
              <w:left w:type="dxa" w:w="100"/>
              <w:bottom w:type="dxa" w:w="60"/>
              <w:right w:type="dxa" w:w="100"/>
            </w:tcMar>
          </w:tcPr>
          <w:p>
            <w:r>
              <w:rPr>
                <w:b/>
                <w:bCs/>
                <w:color w:val="FFFFFF"/>
                <w:sz w:val="19"/>
                <w:szCs w:val="19"/>
              </w:rPr>
              <w:t xml:space="preserve">Post type</w:t>
            </w:r>
          </w:p>
        </w:tc>
        <w:tc>
          <w:tcPr>
            <w:tcW w:type="dxa" w:w="1560"/>
            <w:tcBorders>
              <w:top w:val="single" w:color="CCCCCC" w:sz="4"/>
              <w:left w:val="single" w:color="CCCCCC" w:sz="4"/>
              <w:bottom w:val="single" w:color="CCCCCC" w:sz="4"/>
              <w:right w:val="single" w:color="CCCCCC" w:sz="4"/>
            </w:tcBorders>
            <w:shd w:fill="E6007E" w:color="auto" w:val="clear"/>
            <w:tcMar>
              <w:top w:type="dxa" w:w="60"/>
              <w:left w:type="dxa" w:w="100"/>
              <w:bottom w:type="dxa" w:w="60"/>
              <w:right w:type="dxa" w:w="100"/>
            </w:tcMar>
          </w:tcPr>
          <w:p>
            <w:r>
              <w:rPr>
                <w:b/>
                <w:bCs/>
                <w:color w:val="FFFFFF"/>
                <w:sz w:val="19"/>
                <w:szCs w:val="19"/>
              </w:rPr>
              <w:t xml:space="preserve">Avg likes</w:t>
            </w:r>
          </w:p>
        </w:tc>
        <w:tc>
          <w:tcPr>
            <w:tcW w:type="dxa" w:w="1800"/>
            <w:tcBorders>
              <w:top w:val="single" w:color="CCCCCC" w:sz="4"/>
              <w:left w:val="single" w:color="CCCCCC" w:sz="4"/>
              <w:bottom w:val="single" w:color="CCCCCC" w:sz="4"/>
              <w:right w:val="single" w:color="CCCCCC" w:sz="4"/>
            </w:tcBorders>
            <w:shd w:fill="E6007E" w:color="auto" w:val="clear"/>
            <w:tcMar>
              <w:top w:type="dxa" w:w="60"/>
              <w:left w:type="dxa" w:w="100"/>
              <w:bottom w:type="dxa" w:w="60"/>
              <w:right w:type="dxa" w:w="100"/>
            </w:tcMar>
          </w:tcPr>
          <w:p>
            <w:r>
              <w:rPr>
                <w:b/>
                <w:bCs/>
                <w:color w:val="FFFFFF"/>
                <w:sz w:val="19"/>
                <w:szCs w:val="19"/>
              </w:rPr>
              <w:t xml:space="preserve">Avg comments</w:t>
            </w:r>
          </w:p>
        </w:tc>
        <w:tc>
          <w:tcPr>
            <w:tcW w:type="dxa" w:w="1400"/>
            <w:tcBorders>
              <w:top w:val="single" w:color="CCCCCC" w:sz="4"/>
              <w:left w:val="single" w:color="CCCCCC" w:sz="4"/>
              <w:bottom w:val="single" w:color="CCCCCC" w:sz="4"/>
              <w:right w:val="single" w:color="CCCCCC" w:sz="4"/>
            </w:tcBorders>
            <w:shd w:fill="E6007E" w:color="auto" w:val="clear"/>
            <w:tcMar>
              <w:top w:type="dxa" w:w="60"/>
              <w:left w:type="dxa" w:w="100"/>
              <w:bottom w:type="dxa" w:w="60"/>
              <w:right w:type="dxa" w:w="100"/>
            </w:tcMar>
          </w:tcPr>
          <w:p>
            <w:r>
              <w:rPr>
                <w:b/>
                <w:bCs/>
                <w:color w:val="FFFFFF"/>
                <w:sz w:val="19"/>
                <w:szCs w:val="19"/>
              </w:rPr>
              <w:t xml:space="preserve">Avg shares</w:t>
            </w:r>
          </w:p>
        </w:tc>
        <w:tc>
          <w:tcPr>
            <w:tcW w:type="dxa" w:w="1400"/>
            <w:tcBorders>
              <w:top w:val="single" w:color="CCCCCC" w:sz="4"/>
              <w:left w:val="single" w:color="CCCCCC" w:sz="4"/>
              <w:bottom w:val="single" w:color="CCCCCC" w:sz="4"/>
              <w:right w:val="single" w:color="CCCCCC" w:sz="4"/>
            </w:tcBorders>
            <w:shd w:fill="E6007E" w:color="auto" w:val="clear"/>
            <w:tcMar>
              <w:top w:type="dxa" w:w="60"/>
              <w:left w:type="dxa" w:w="100"/>
              <w:bottom w:type="dxa" w:w="60"/>
              <w:right w:type="dxa" w:w="100"/>
            </w:tcMar>
          </w:tcPr>
          <w:p>
            <w:r>
              <w:rPr>
                <w:b/>
                <w:bCs/>
                <w:color w:val="FFFFFF"/>
                <w:sz w:val="19"/>
                <w:szCs w:val="19"/>
              </w:rPr>
              <w:t xml:space="preserve">Avg saves</w:t>
            </w:r>
          </w:p>
        </w:tc>
        <w:tc>
          <w:tcPr>
            <w:tcW w:type="dxa" w:w="1400"/>
            <w:tcBorders>
              <w:top w:val="single" w:color="CCCCCC" w:sz="4"/>
              <w:left w:val="single" w:color="CCCCCC" w:sz="4"/>
              <w:bottom w:val="single" w:color="CCCCCC" w:sz="4"/>
              <w:right w:val="single" w:color="CCCCCC" w:sz="4"/>
            </w:tcBorders>
            <w:shd w:fill="E6007E" w:color="auto" w:val="clear"/>
            <w:tcMar>
              <w:top w:type="dxa" w:w="60"/>
              <w:left w:type="dxa" w:w="100"/>
              <w:bottom w:type="dxa" w:w="60"/>
              <w:right w:type="dxa" w:w="100"/>
            </w:tcMar>
          </w:tcPr>
          <w:p>
            <w:r>
              <w:rPr>
                <w:b/>
                <w:bCs/>
                <w:color w:val="FFFFFF"/>
                <w:sz w:val="19"/>
                <w:szCs w:val="19"/>
              </w:rPr>
              <w:t xml:space="preserve">Avg ER %</w:t>
            </w:r>
          </w:p>
        </w:tc>
      </w:tr>
      <w:tr>
        <w:trPr>
          <w:tblHeader w:val="false"/>
        </w:trPr>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color w:val="000000"/>
                <w:sz w:val="19"/>
                <w:szCs w:val="19"/>
              </w:rPr>
              <w:t xml:space="preserve">Image</w:t>
            </w:r>
          </w:p>
        </w:tc>
        <w:tc>
          <w:tcPr>
            <w:tcW w:type="dxa" w:w="15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color w:val="000000"/>
                <w:sz w:val="19"/>
                <w:szCs w:val="19"/>
              </w:rPr>
              <w:t xml:space="preserve">2,954</w:t>
            </w:r>
          </w:p>
        </w:tc>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color w:val="000000"/>
                <w:sz w:val="19"/>
                <w:szCs w:val="19"/>
              </w:rPr>
              <w:t xml:space="preserve">367</w:t>
            </w:r>
          </w:p>
        </w:tc>
        <w:tc>
          <w:tcPr>
            <w:tcW w:type="dxa" w:w="14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color w:val="000000"/>
                <w:sz w:val="19"/>
                <w:szCs w:val="19"/>
              </w:rPr>
              <w:t xml:space="preserve">161</w:t>
            </w:r>
          </w:p>
        </w:tc>
        <w:tc>
          <w:tcPr>
            <w:tcW w:type="dxa" w:w="14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color w:val="000000"/>
                <w:sz w:val="19"/>
                <w:szCs w:val="19"/>
              </w:rPr>
              <w:t xml:space="preserve">177</w:t>
            </w:r>
          </w:p>
        </w:tc>
        <w:tc>
          <w:tcPr>
            <w:tcW w:type="dxa" w:w="14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color w:val="000000"/>
                <w:sz w:val="19"/>
                <w:szCs w:val="19"/>
              </w:rPr>
              <w:t xml:space="preserve">18.43</w:t>
            </w:r>
          </w:p>
        </w:tc>
      </w:tr>
      <w:tr>
        <w:trPr>
          <w:tblHeader w:val="false"/>
        </w:trPr>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color w:val="000000"/>
                <w:sz w:val="19"/>
                <w:szCs w:val="19"/>
              </w:rPr>
              <w:t xml:space="preserve">Reel</w:t>
            </w:r>
          </w:p>
        </w:tc>
        <w:tc>
          <w:tcPr>
            <w:tcW w:type="dxa" w:w="15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color w:val="000000"/>
                <w:sz w:val="19"/>
                <w:szCs w:val="19"/>
              </w:rPr>
              <w:t xml:space="preserve">2,960</w:t>
            </w:r>
          </w:p>
        </w:tc>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color w:val="000000"/>
                <w:sz w:val="19"/>
                <w:szCs w:val="19"/>
              </w:rPr>
              <w:t xml:space="preserve">369</w:t>
            </w:r>
          </w:p>
        </w:tc>
        <w:tc>
          <w:tcPr>
            <w:tcW w:type="dxa" w:w="14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color w:val="000000"/>
                <w:sz w:val="19"/>
                <w:szCs w:val="19"/>
              </w:rPr>
              <w:t xml:space="preserve">162</w:t>
            </w:r>
          </w:p>
        </w:tc>
        <w:tc>
          <w:tcPr>
            <w:tcW w:type="dxa" w:w="14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color w:val="000000"/>
                <w:sz w:val="19"/>
                <w:szCs w:val="19"/>
              </w:rPr>
              <w:t xml:space="preserve">178</w:t>
            </w:r>
          </w:p>
        </w:tc>
        <w:tc>
          <w:tcPr>
            <w:tcW w:type="dxa" w:w="14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color w:val="000000"/>
                <w:sz w:val="19"/>
                <w:szCs w:val="19"/>
              </w:rPr>
              <w:t xml:space="preserve">18.61</w:t>
            </w:r>
          </w:p>
        </w:tc>
      </w:tr>
      <w:tr>
        <w:trPr>
          <w:tblHeader w:val="false"/>
        </w:trPr>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color w:val="000000"/>
                <w:sz w:val="19"/>
                <w:szCs w:val="19"/>
              </w:rPr>
              <w:t xml:space="preserve">Story</w:t>
            </w:r>
          </w:p>
        </w:tc>
        <w:tc>
          <w:tcPr>
            <w:tcW w:type="dxa" w:w="15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color w:val="000000"/>
                <w:sz w:val="19"/>
                <w:szCs w:val="19"/>
              </w:rPr>
              <w:t xml:space="preserve">2,964</w:t>
            </w:r>
          </w:p>
        </w:tc>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color w:val="000000"/>
                <w:sz w:val="19"/>
                <w:szCs w:val="19"/>
              </w:rPr>
              <w:t xml:space="preserve">371</w:t>
            </w:r>
          </w:p>
        </w:tc>
        <w:tc>
          <w:tcPr>
            <w:tcW w:type="dxa" w:w="14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color w:val="000000"/>
                <w:sz w:val="19"/>
                <w:szCs w:val="19"/>
              </w:rPr>
              <w:t xml:space="preserve">165</w:t>
            </w:r>
          </w:p>
        </w:tc>
        <w:tc>
          <w:tcPr>
            <w:tcW w:type="dxa" w:w="14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color w:val="000000"/>
                <w:sz w:val="19"/>
                <w:szCs w:val="19"/>
              </w:rPr>
              <w:t xml:space="preserve">178</w:t>
            </w:r>
          </w:p>
        </w:tc>
        <w:tc>
          <w:tcPr>
            <w:tcW w:type="dxa" w:w="14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color w:val="000000"/>
                <w:sz w:val="19"/>
                <w:szCs w:val="19"/>
              </w:rPr>
              <w:t xml:space="preserve">18.60</w:t>
            </w:r>
          </w:p>
        </w:tc>
      </w:tr>
      <w:tr>
        <w:trPr>
          <w:tblHeader w:val="false"/>
        </w:trPr>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color w:val="000000"/>
                <w:sz w:val="19"/>
                <w:szCs w:val="19"/>
              </w:rPr>
              <w:t xml:space="preserve">Video</w:t>
            </w:r>
          </w:p>
        </w:tc>
        <w:tc>
          <w:tcPr>
            <w:tcW w:type="dxa" w:w="15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color w:val="000000"/>
                <w:sz w:val="19"/>
                <w:szCs w:val="19"/>
              </w:rPr>
              <w:t xml:space="preserve">2,941</w:t>
            </w:r>
          </w:p>
        </w:tc>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color w:val="000000"/>
                <w:sz w:val="19"/>
                <w:szCs w:val="19"/>
              </w:rPr>
              <w:t xml:space="preserve">370</w:t>
            </w:r>
          </w:p>
        </w:tc>
        <w:tc>
          <w:tcPr>
            <w:tcW w:type="dxa" w:w="14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color w:val="000000"/>
                <w:sz w:val="19"/>
                <w:szCs w:val="19"/>
              </w:rPr>
              <w:t xml:space="preserve">162</w:t>
            </w:r>
          </w:p>
        </w:tc>
        <w:tc>
          <w:tcPr>
            <w:tcW w:type="dxa" w:w="14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color w:val="000000"/>
                <w:sz w:val="19"/>
                <w:szCs w:val="19"/>
              </w:rPr>
              <w:t xml:space="preserve">176</w:t>
            </w:r>
          </w:p>
        </w:tc>
        <w:tc>
          <w:tcPr>
            <w:tcW w:type="dxa" w:w="14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color w:val="000000"/>
                <w:sz w:val="19"/>
                <w:szCs w:val="19"/>
              </w:rPr>
              <w:t xml:space="preserve">18.51</w:t>
            </w:r>
          </w:p>
        </w:tc>
      </w:tr>
    </w:tbl>
    <w:p>
      <w:pPr>
        <w:spacing w:after="120"/>
      </w:pPr>
      <w:r>
        <w:t xml:space="preserve"/>
      </w:r>
    </w:p>
    <w:p>
      <w:pPr>
        <w:spacing w:after="120"/>
      </w:pPr>
      <w:r>
        <w:t xml:space="preserve">Differences are under 1% on every metric (ANOVA p = 0.15). Reels lead on ER and saves; Stories lead on likes, comments and shares but generate the fewest follows (≈175 per post vs ≈179 for Images; visit-to-follow 29.4% vs 29.9%).</w:t>
      </w:r>
    </w:p>
    <w:p>
      <w:pPr>
        <w:spacing w:after="120" w:before="80"/>
        <w:jc w:val="center"/>
      </w:pPr>
      <w:r>
        <w:drawing>
          <wp:inline distT="0" distB="0" distL="0" distR="0">
            <wp:extent cx="457200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238375"/>
                    </a:xfrm>
                    <a:prstGeom prst="rect">
                      <a:avLst/>
                    </a:prstGeom>
                  </pic:spPr>
                </pic:pic>
              </a:graphicData>
            </a:graphic>
          </wp:inline>
        </w:drawing>
      </w:r>
    </w:p>
    <w:p>
      <w:pPr>
        <w:pStyle w:val="Heading2"/>
        <w:spacing w:after="80" w:before="200"/>
      </w:pPr>
      <w:r>
        <w:t xml:space="preserve">3.6 Day of week</w:t>
      </w:r>
    </w:p>
    <w:p>
      <w:pPr>
        <w:spacing w:after="120"/>
      </w:pPr>
      <w:r>
        <w:t xml:space="preserve">Wednesday has the highest average ER (18.63%) and Sunday the lowest (18.42%), a 0.21 pp spread (p = 0.57). Saturday has the lowest average reach (≈19,500) and Wednesday the highest (≈19,870). Weekday is not a meaningful lever with this data; posting time (not provided) may matter more.</w:t>
      </w:r>
    </w:p>
    <w:p>
      <w:pPr>
        <w:spacing w:after="120" w:before="80"/>
        <w:jc w:val="center"/>
      </w:pPr>
      <w:r>
        <w:drawing>
          <wp:inline distT="0" distB="0" distL="0" distR="0">
            <wp:extent cx="4191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2286000"/>
                    </a:xfrm>
                    <a:prstGeom prst="rect">
                      <a:avLst/>
                    </a:prstGeom>
                  </pic:spPr>
                </pic:pic>
              </a:graphicData>
            </a:graphic>
          </wp:inline>
        </w:drawing>
      </w:r>
    </w:p>
    <w:p>
      <w:pPr>
        <w:pStyle w:val="Heading2"/>
        <w:spacing w:after="80" w:before="200"/>
      </w:pPr>
      <w:r>
        <w:t xml:space="preserve">3.7 Engagement funnel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rPr>
          <w:tblHeader/>
        </w:trPr>
        <w:tc>
          <w:tcPr>
            <w:tcW w:type="dxa" w:w="3000"/>
            <w:tcBorders>
              <w:top w:val="single" w:color="CCCCCC" w:sz="4"/>
              <w:left w:val="single" w:color="CCCCCC" w:sz="4"/>
              <w:bottom w:val="single" w:color="CCCCCC" w:sz="4"/>
              <w:right w:val="single" w:color="CCCCCC" w:sz="4"/>
            </w:tcBorders>
            <w:shd w:fill="E6007E" w:color="auto" w:val="clear"/>
            <w:tcMar>
              <w:top w:type="dxa" w:w="60"/>
              <w:left w:type="dxa" w:w="100"/>
              <w:bottom w:type="dxa" w:w="60"/>
              <w:right w:type="dxa" w:w="100"/>
            </w:tcMar>
          </w:tcPr>
          <w:p>
            <w:r>
              <w:rPr>
                <w:b/>
                <w:bCs/>
                <w:color w:val="FFFFFF"/>
                <w:sz w:val="19"/>
                <w:szCs w:val="19"/>
              </w:rPr>
              <w:t xml:space="preserve">Stage</w:t>
            </w:r>
          </w:p>
        </w:tc>
        <w:tc>
          <w:tcPr>
            <w:tcW w:type="dxa" w:w="2800"/>
            <w:tcBorders>
              <w:top w:val="single" w:color="CCCCCC" w:sz="4"/>
              <w:left w:val="single" w:color="CCCCCC" w:sz="4"/>
              <w:bottom w:val="single" w:color="CCCCCC" w:sz="4"/>
              <w:right w:val="single" w:color="CCCCCC" w:sz="4"/>
            </w:tcBorders>
            <w:shd w:fill="E6007E" w:color="auto" w:val="clear"/>
            <w:tcMar>
              <w:top w:type="dxa" w:w="60"/>
              <w:left w:type="dxa" w:w="100"/>
              <w:bottom w:type="dxa" w:w="60"/>
              <w:right w:type="dxa" w:w="100"/>
            </w:tcMar>
          </w:tcPr>
          <w:p>
            <w:r>
              <w:rPr>
                <w:b/>
                <w:bCs/>
                <w:color w:val="FFFFFF"/>
                <w:sz w:val="19"/>
                <w:szCs w:val="19"/>
              </w:rPr>
              <w:t xml:space="preserve">Total</w:t>
            </w:r>
          </w:p>
        </w:tc>
        <w:tc>
          <w:tcPr>
            <w:tcW w:type="dxa" w:w="3560"/>
            <w:tcBorders>
              <w:top w:val="single" w:color="CCCCCC" w:sz="4"/>
              <w:left w:val="single" w:color="CCCCCC" w:sz="4"/>
              <w:bottom w:val="single" w:color="CCCCCC" w:sz="4"/>
              <w:right w:val="single" w:color="CCCCCC" w:sz="4"/>
            </w:tcBorders>
            <w:shd w:fill="E6007E" w:color="auto" w:val="clear"/>
            <w:tcMar>
              <w:top w:type="dxa" w:w="60"/>
              <w:left w:type="dxa" w:w="100"/>
              <w:bottom w:type="dxa" w:w="60"/>
              <w:right w:type="dxa" w:w="100"/>
            </w:tcMar>
          </w:tcPr>
          <w:p>
            <w:r>
              <w:rPr>
                <w:b/>
                <w:bCs/>
                <w:color w:val="FFFFFF"/>
                <w:sz w:val="19"/>
                <w:szCs w:val="19"/>
              </w:rPr>
              <w:t xml:space="preserve">% of previous / of reach</w:t>
            </w:r>
          </w:p>
        </w:tc>
      </w:tr>
      <w:tr>
        <w:trPr>
          <w:tblHeader w:val="false"/>
        </w:trPr>
        <w:tc>
          <w:tcPr>
            <w:tcW w:type="dxa" w:w="3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color w:val="000000"/>
                <w:sz w:val="19"/>
                <w:szCs w:val="19"/>
              </w:rPr>
              <w:t xml:space="preserve">Impressions</w:t>
            </w:r>
          </w:p>
        </w:tc>
        <w:tc>
          <w:tcPr>
            <w:tcW w:type="dxa" w:w="28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color w:val="000000"/>
                <w:sz w:val="19"/>
                <w:szCs w:val="19"/>
              </w:rPr>
              <w:t xml:space="preserve">1,276.0M</w:t>
            </w:r>
          </w:p>
        </w:tc>
        <w:tc>
          <w:tcPr>
            <w:tcW w:type="dxa" w:w="35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color w:val="000000"/>
                <w:sz w:val="19"/>
                <w:szCs w:val="19"/>
              </w:rPr>
              <w:t xml:space="preserve">–</w:t>
            </w:r>
          </w:p>
        </w:tc>
      </w:tr>
      <w:tr>
        <w:trPr>
          <w:tblHeader w:val="false"/>
        </w:trPr>
        <w:tc>
          <w:tcPr>
            <w:tcW w:type="dxa" w:w="3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color w:val="000000"/>
                <w:sz w:val="19"/>
                <w:szCs w:val="19"/>
              </w:rPr>
              <w:t xml:space="preserve">Reach</w:t>
            </w:r>
          </w:p>
        </w:tc>
        <w:tc>
          <w:tcPr>
            <w:tcW w:type="dxa" w:w="28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color w:val="000000"/>
                <w:sz w:val="19"/>
                <w:szCs w:val="19"/>
              </w:rPr>
              <w:t xml:space="preserve">987.4M</w:t>
            </w:r>
          </w:p>
        </w:tc>
        <w:tc>
          <w:tcPr>
            <w:tcW w:type="dxa" w:w="35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color w:val="000000"/>
                <w:sz w:val="19"/>
                <w:szCs w:val="19"/>
              </w:rPr>
              <w:t xml:space="preserve">77.4% of impressions</w:t>
            </w:r>
          </w:p>
        </w:tc>
      </w:tr>
      <w:tr>
        <w:trPr>
          <w:tblHeader w:val="false"/>
        </w:trPr>
        <w:tc>
          <w:tcPr>
            <w:tcW w:type="dxa" w:w="3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color w:val="000000"/>
                <w:sz w:val="19"/>
                <w:szCs w:val="19"/>
              </w:rPr>
              <w:t xml:space="preserve">Likes</w:t>
            </w:r>
          </w:p>
        </w:tc>
        <w:tc>
          <w:tcPr>
            <w:tcW w:type="dxa" w:w="28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color w:val="000000"/>
                <w:sz w:val="19"/>
                <w:szCs w:val="19"/>
              </w:rPr>
              <w:t xml:space="preserve">147.7M</w:t>
            </w:r>
          </w:p>
        </w:tc>
        <w:tc>
          <w:tcPr>
            <w:tcW w:type="dxa" w:w="35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color w:val="000000"/>
                <w:sz w:val="19"/>
                <w:szCs w:val="19"/>
              </w:rPr>
              <w:t xml:space="preserve">15.0% of reach</w:t>
            </w:r>
          </w:p>
        </w:tc>
      </w:tr>
      <w:tr>
        <w:trPr>
          <w:tblHeader w:val="false"/>
        </w:trPr>
        <w:tc>
          <w:tcPr>
            <w:tcW w:type="dxa" w:w="3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color w:val="000000"/>
                <w:sz w:val="19"/>
                <w:szCs w:val="19"/>
              </w:rPr>
              <w:t xml:space="preserve">Comments</w:t>
            </w:r>
          </w:p>
        </w:tc>
        <w:tc>
          <w:tcPr>
            <w:tcW w:type="dxa" w:w="28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color w:val="000000"/>
                <w:sz w:val="19"/>
                <w:szCs w:val="19"/>
              </w:rPr>
              <w:t xml:space="preserve">18.5M</w:t>
            </w:r>
          </w:p>
        </w:tc>
        <w:tc>
          <w:tcPr>
            <w:tcW w:type="dxa" w:w="35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color w:val="000000"/>
                <w:sz w:val="19"/>
                <w:szCs w:val="19"/>
              </w:rPr>
              <w:t xml:space="preserve">1.9% of reach</w:t>
            </w:r>
          </w:p>
        </w:tc>
      </w:tr>
      <w:tr>
        <w:trPr>
          <w:tblHeader w:val="false"/>
        </w:trPr>
        <w:tc>
          <w:tcPr>
            <w:tcW w:type="dxa" w:w="3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color w:val="000000"/>
                <w:sz w:val="19"/>
                <w:szCs w:val="19"/>
              </w:rPr>
              <w:t xml:space="preserve">Saves</w:t>
            </w:r>
          </w:p>
        </w:tc>
        <w:tc>
          <w:tcPr>
            <w:tcW w:type="dxa" w:w="28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color w:val="000000"/>
                <w:sz w:val="19"/>
                <w:szCs w:val="19"/>
              </w:rPr>
              <w:t xml:space="preserve">8.9M</w:t>
            </w:r>
          </w:p>
        </w:tc>
        <w:tc>
          <w:tcPr>
            <w:tcW w:type="dxa" w:w="35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color w:val="000000"/>
                <w:sz w:val="19"/>
                <w:szCs w:val="19"/>
              </w:rPr>
              <w:t xml:space="preserve">0.9% of reach</w:t>
            </w:r>
          </w:p>
        </w:tc>
      </w:tr>
      <w:tr>
        <w:trPr>
          <w:tblHeader w:val="false"/>
        </w:trPr>
        <w:tc>
          <w:tcPr>
            <w:tcW w:type="dxa" w:w="3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color w:val="000000"/>
                <w:sz w:val="19"/>
                <w:szCs w:val="19"/>
              </w:rPr>
              <w:t xml:space="preserve">Shares</w:t>
            </w:r>
          </w:p>
        </w:tc>
        <w:tc>
          <w:tcPr>
            <w:tcW w:type="dxa" w:w="28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color w:val="000000"/>
                <w:sz w:val="19"/>
                <w:szCs w:val="19"/>
              </w:rPr>
              <w:t xml:space="preserve">8.1M</w:t>
            </w:r>
          </w:p>
        </w:tc>
        <w:tc>
          <w:tcPr>
            <w:tcW w:type="dxa" w:w="35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color w:val="000000"/>
                <w:sz w:val="19"/>
                <w:szCs w:val="19"/>
              </w:rPr>
              <w:t xml:space="preserve">0.8% of reach</w:t>
            </w:r>
          </w:p>
        </w:tc>
      </w:tr>
    </w:tbl>
    <w:p>
      <w:pPr>
        <w:spacing w:after="120"/>
      </w:pPr>
      <w:r>
        <w:t xml:space="preserve"/>
      </w:r>
    </w:p>
    <w:p>
      <w:pPr>
        <w:spacing w:after="120"/>
      </w:pPr>
      <w:r>
        <w:t xml:space="preserve">The average person sees a post 1.29 times. Likes dominate; saves and shares, the strongest intent signals, are the thinnest layer. Likes, comments, shares and saves are parallel actions rather than a strict sequence.</w:t>
      </w:r>
    </w:p>
    <w:p>
      <w:pPr>
        <w:spacing w:after="120" w:before="80"/>
        <w:jc w:val="center"/>
      </w:pPr>
      <w:r>
        <w:drawing>
          <wp:inline distT="0" distB="0" distL="0" distR="0">
            <wp:extent cx="4381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2143125"/>
                    </a:xfrm>
                    <a:prstGeom prst="rect">
                      <a:avLst/>
                    </a:prstGeom>
                  </pic:spPr>
                </pic:pic>
              </a:graphicData>
            </a:graphic>
          </wp:inline>
        </w:drawing>
      </w:r>
    </w:p>
    <w:p>
      <w:pPr>
        <w:pStyle w:val="Heading2"/>
        <w:spacing w:after="80" w:before="200"/>
      </w:pPr>
      <w:r>
        <w:t xml:space="preserve">3.8 Hashtag analysis</w:t>
      </w:r>
    </w:p>
    <w:p>
      <w:pPr>
        <w:spacing w:after="120"/>
      </w:pPr>
      <w:r>
        <w:t xml:space="preserve">Only five hashtags are used (#SugarCosmetics, #MakeupGoals, #BoldLooks, #VeganBeauty, #CrueltyFree), each on roughly 40% of posts. #VeganBeauty (18.61%) and #BoldLooks (18.58%) lead; #MakeupGoals trails (18.51%). Posts with two hashtags average 18.63% vs 18.44% with one (p = 0.054, borderline). The data does not include niche or trending tags, which limits hashtag strategy.</w:t>
      </w:r>
    </w:p>
    <w:p>
      <w:pPr>
        <w:spacing w:after="120" w:before="80"/>
        <w:jc w:val="center"/>
      </w:pPr>
      <w:r>
        <w:drawing>
          <wp:inline distT="0" distB="0" distL="0" distR="0">
            <wp:extent cx="4191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91000" cy="2286000"/>
                    </a:xfrm>
                    <a:prstGeom prst="rect">
                      <a:avLst/>
                    </a:prstGeom>
                  </pic:spPr>
                </pic:pic>
              </a:graphicData>
            </a:graphic>
          </wp:inline>
        </w:drawing>
      </w:r>
    </w:p>
    <w:p>
      <w:pPr>
        <w:pStyle w:val="Heading2"/>
        <w:spacing w:after="80" w:before="200"/>
      </w:pPr>
      <w:r>
        <w:t xml:space="preserve">3.9 Campaign, source and audience emotion (extra cuts)</w:t>
      </w:r>
    </w:p>
    <w:p>
      <w:pPr>
        <w:pStyle w:val="ListParagraph"/>
        <w:numPr>
          <w:ilvl w:val="0"/>
          <w:numId w:val="2"/>
        </w:numPr>
        <w:spacing w:after="60"/>
      </w:pPr>
      <w:r>
        <w:t xml:space="preserve">Campaign: Influencer Collab has the highest reach (≈19,875) and likes (≈2,983); Festive Offer is lowest on reach (≈19,506), likes (≈2,903) and ER (18.44%). Tutorial has the best visit-to-follow conversion (30.0%).</w:t>
      </w:r>
    </w:p>
    <w:p>
      <w:pPr>
        <w:pStyle w:val="ListParagraph"/>
        <w:numPr>
          <w:ilvl w:val="0"/>
          <w:numId w:val="2"/>
        </w:numPr>
        <w:spacing w:after="60"/>
      </w:pPr>
      <w:r>
        <w:t xml:space="preserve">Source: Organic has the highest reach per post (≈19,970) but the lowest ER (18.44%); Collab and Influencer lead ER (≈18.59%); Paid has the lowest reach (≈19,617).</w:t>
      </w:r>
    </w:p>
    <w:p>
      <w:pPr>
        <w:pStyle w:val="ListParagraph"/>
        <w:numPr>
          <w:ilvl w:val="0"/>
          <w:numId w:val="2"/>
        </w:numPr>
        <w:spacing w:after="60"/>
      </w:pPr>
      <w:r>
        <w:t xml:space="preserve">Audience emotion: all five emotions are within 0.16 pp of each other (Curious highest).</w:t>
      </w:r>
    </w:p>
    <w:p>
      <w:pPr>
        <w:spacing w:after="120" w:before="80"/>
        <w:jc w:val="center"/>
      </w:pPr>
      <w:r>
        <w:drawing>
          <wp:inline distT="0" distB="0" distL="0" distR="0">
            <wp:extent cx="4191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2286000"/>
                    </a:xfrm>
                    <a:prstGeom prst="rect">
                      <a:avLst/>
                    </a:prstGeom>
                  </pic:spPr>
                </pic:pic>
              </a:graphicData>
            </a:graphic>
          </wp:inline>
        </w:drawing>
      </w:r>
    </w:p>
    <w:p>
      <w:pPr>
        <w:pStyle w:val="Heading1"/>
        <w:spacing w:after="120" w:before="280"/>
      </w:pPr>
      <w:r>
        <w:t xml:space="preserve">4. Strategic recommendations</w:t>
      </w:r>
    </w:p>
    <w:p>
      <w:pPr>
        <w:pStyle w:val="Heading2"/>
        <w:spacing w:after="80" w:before="200"/>
      </w:pPr>
      <w:r>
        <w:t xml:space="preserve">4.1 Posting strategy</w:t>
      </w:r>
    </w:p>
    <w:p>
      <w:pPr>
        <w:pStyle w:val="ListParagraph"/>
        <w:numPr>
          <w:ilvl w:val="0"/>
          <w:numId w:val="2"/>
        </w:numPr>
        <w:spacing w:after="60"/>
      </w:pPr>
      <w:r>
        <w:rPr>
          <w:b/>
          <w:bCs/>
        </w:rPr>
        <w:t xml:space="preserve">Timing: </w:t>
      </w:r>
      <w:r>
        <w:t xml:space="preserve">keep the daily cadence; mid-week (Wed) and Saturday show the best ER, Sunday the weakest. Treat this as a testing hypothesis; capture post time in future exports.</w:t>
      </w:r>
    </w:p>
    <w:p>
      <w:pPr>
        <w:pStyle w:val="ListParagraph"/>
        <w:numPr>
          <w:ilvl w:val="0"/>
          <w:numId w:val="2"/>
        </w:numPr>
        <w:spacing w:after="60"/>
      </w:pPr>
      <w:r>
        <w:rPr>
          <w:b/>
          <w:bCs/>
        </w:rPr>
        <w:t xml:space="preserve">Frequency: </w:t>
      </w:r>
      <w:r>
        <w:t xml:space="preserve">current cadence is stable and no month shows a performance penalty, so there is no evidence for increasing volume. Prioritise quality of saves/shares.</w:t>
      </w:r>
    </w:p>
    <w:p>
      <w:pPr>
        <w:pStyle w:val="ListParagraph"/>
        <w:numPr>
          <w:ilvl w:val="0"/>
          <w:numId w:val="2"/>
        </w:numPr>
        <w:spacing w:after="60"/>
      </w:pPr>
      <w:r>
        <w:rPr>
          <w:b/>
          <w:bCs/>
        </w:rPr>
        <w:t xml:space="preserve">Content type: </w:t>
      </w:r>
      <w:r>
        <w:t xml:space="preserve">Reels for tutorials and launches (best ER and saves); Stories for time-sensitive offers, with a follow call-to-action.</w:t>
      </w:r>
    </w:p>
    <w:p>
      <w:pPr>
        <w:pStyle w:val="Heading2"/>
        <w:spacing w:after="80" w:before="200"/>
      </w:pPr>
      <w:r>
        <w:t xml:space="preserve">4.2 Improve engagement and follower growth</w:t>
      </w:r>
    </w:p>
    <w:p>
      <w:pPr>
        <w:pStyle w:val="ListParagraph"/>
        <w:numPr>
          <w:ilvl w:val="0"/>
          <w:numId w:val="2"/>
        </w:numPr>
        <w:spacing w:after="60"/>
      </w:pPr>
      <w:r>
        <w:t xml:space="preserve">Add follow prompts and link stickers to Stories, the lowest follow-driver.</w:t>
      </w:r>
    </w:p>
    <w:p>
      <w:pPr>
        <w:pStyle w:val="ListParagraph"/>
        <w:numPr>
          <w:ilvl w:val="0"/>
          <w:numId w:val="2"/>
        </w:numPr>
        <w:spacing w:after="60"/>
      </w:pPr>
      <w:r>
        <w:t xml:space="preserve">Create saveable assets (shade guides, routines) and shareable hooks to lift the weakest funnel layers.</w:t>
      </w:r>
    </w:p>
    <w:p>
      <w:pPr>
        <w:pStyle w:val="ListParagraph"/>
        <w:numPr>
          <w:ilvl w:val="0"/>
          <w:numId w:val="2"/>
        </w:numPr>
        <w:spacing w:after="60"/>
      </w:pPr>
      <w:r>
        <w:t xml:space="preserve">Use two or three hashtags per post; place #VeganBeauty and #BoldLooks in core content.</w:t>
      </w:r>
    </w:p>
    <w:p>
      <w:pPr>
        <w:pStyle w:val="ListParagraph"/>
        <w:numPr>
          <w:ilvl w:val="0"/>
          <w:numId w:val="2"/>
        </w:numPr>
        <w:spacing w:after="60"/>
      </w:pPr>
      <w:r>
        <w:t xml:space="preserve">Re-evaluate paid promotion: it is not buying additional reach compared with organic. Measure cost per follow.</w:t>
      </w:r>
    </w:p>
    <w:p>
      <w:pPr>
        <w:pStyle w:val="Heading2"/>
        <w:spacing w:after="80" w:before="200"/>
      </w:pPr>
      <w:r>
        <w:t xml:space="preserve">4.3 Gaps and how to close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100"/>
        <w:gridCol w:w="3360"/>
      </w:tblGrid>
      <w:tr>
        <w:trPr>
          <w:tblHeader/>
        </w:trPr>
        <w:tc>
          <w:tcPr>
            <w:tcW w:type="dxa" w:w="2900"/>
            <w:tcBorders>
              <w:top w:val="single" w:color="CCCCCC" w:sz="4"/>
              <w:left w:val="single" w:color="CCCCCC" w:sz="4"/>
              <w:bottom w:val="single" w:color="CCCCCC" w:sz="4"/>
              <w:right w:val="single" w:color="CCCCCC" w:sz="4"/>
            </w:tcBorders>
            <w:shd w:fill="E6007E" w:color="auto" w:val="clear"/>
            <w:tcMar>
              <w:top w:type="dxa" w:w="60"/>
              <w:left w:type="dxa" w:w="100"/>
              <w:bottom w:type="dxa" w:w="60"/>
              <w:right w:type="dxa" w:w="100"/>
            </w:tcMar>
          </w:tcPr>
          <w:p>
            <w:r>
              <w:rPr>
                <w:b/>
                <w:bCs/>
                <w:color w:val="FFFFFF"/>
                <w:sz w:val="19"/>
                <w:szCs w:val="19"/>
              </w:rPr>
              <w:t xml:space="preserve">Gap</w:t>
            </w:r>
          </w:p>
        </w:tc>
        <w:tc>
          <w:tcPr>
            <w:tcW w:type="dxa" w:w="3100"/>
            <w:tcBorders>
              <w:top w:val="single" w:color="CCCCCC" w:sz="4"/>
              <w:left w:val="single" w:color="CCCCCC" w:sz="4"/>
              <w:bottom w:val="single" w:color="CCCCCC" w:sz="4"/>
              <w:right w:val="single" w:color="CCCCCC" w:sz="4"/>
            </w:tcBorders>
            <w:shd w:fill="E6007E" w:color="auto" w:val="clear"/>
            <w:tcMar>
              <w:top w:type="dxa" w:w="60"/>
              <w:left w:type="dxa" w:w="100"/>
              <w:bottom w:type="dxa" w:w="60"/>
              <w:right w:type="dxa" w:w="100"/>
            </w:tcMar>
          </w:tcPr>
          <w:p>
            <w:r>
              <w:rPr>
                <w:b/>
                <w:bCs/>
                <w:color w:val="FFFFFF"/>
                <w:sz w:val="19"/>
                <w:szCs w:val="19"/>
              </w:rPr>
              <w:t xml:space="preserve">Why it matters</w:t>
            </w:r>
          </w:p>
        </w:tc>
        <w:tc>
          <w:tcPr>
            <w:tcW w:type="dxa" w:w="3360"/>
            <w:tcBorders>
              <w:top w:val="single" w:color="CCCCCC" w:sz="4"/>
              <w:left w:val="single" w:color="CCCCCC" w:sz="4"/>
              <w:bottom w:val="single" w:color="CCCCCC" w:sz="4"/>
              <w:right w:val="single" w:color="CCCCCC" w:sz="4"/>
            </w:tcBorders>
            <w:shd w:fill="E6007E" w:color="auto" w:val="clear"/>
            <w:tcMar>
              <w:top w:type="dxa" w:w="60"/>
              <w:left w:type="dxa" w:w="100"/>
              <w:bottom w:type="dxa" w:w="60"/>
              <w:right w:type="dxa" w:w="100"/>
            </w:tcMar>
          </w:tcPr>
          <w:p>
            <w:r>
              <w:rPr>
                <w:b/>
                <w:bCs/>
                <w:color w:val="FFFFFF"/>
                <w:sz w:val="19"/>
                <w:szCs w:val="19"/>
              </w:rPr>
              <w:t xml:space="preserve">Fix</w:t>
            </w:r>
          </w:p>
        </w:tc>
      </w:tr>
      <w:tr>
        <w:trPr>
          <w:tblHeader w:val="false"/>
        </w:trPr>
        <w:tc>
          <w:tcPr>
            <w:tcW w:type="dxa" w:w="29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color w:val="000000"/>
                <w:sz w:val="19"/>
                <w:szCs w:val="19"/>
              </w:rPr>
              <w:t xml:space="preserve">No caption, post time, cost or followers</w:t>
            </w:r>
          </w:p>
        </w:tc>
        <w:tc>
          <w:tcPr>
            <w:tcW w:type="dxa" w:w="31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color w:val="000000"/>
                <w:sz w:val="19"/>
                <w:szCs w:val="19"/>
              </w:rPr>
              <w:t xml:space="preserve">Cannot study copy, timing or ROI</w:t>
            </w:r>
          </w:p>
        </w:tc>
        <w:tc>
          <w:tcPr>
            <w:tcW w:type="dxa" w:w="33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color w:val="000000"/>
                <w:sz w:val="19"/>
                <w:szCs w:val="19"/>
              </w:rPr>
              <w:t xml:space="preserve">Export these fields from Instagram Insights/Meta Business Suite</w:t>
            </w:r>
          </w:p>
        </w:tc>
      </w:tr>
      <w:tr>
        <w:trPr>
          <w:tblHeader w:val="false"/>
        </w:trPr>
        <w:tc>
          <w:tcPr>
            <w:tcW w:type="dxa" w:w="29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color w:val="000000"/>
                <w:sz w:val="19"/>
                <w:szCs w:val="19"/>
              </w:rPr>
              <w:t xml:space="preserve">No demographics</w:t>
            </w:r>
          </w:p>
        </w:tc>
        <w:tc>
          <w:tcPr>
            <w:tcW w:type="dxa" w:w="31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color w:val="000000"/>
                <w:sz w:val="19"/>
                <w:szCs w:val="19"/>
              </w:rPr>
              <w:t xml:space="preserve">Objective asks for audience analysis</w:t>
            </w:r>
          </w:p>
        </w:tc>
        <w:tc>
          <w:tcPr>
            <w:tcW w:type="dxa" w:w="33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color w:val="000000"/>
                <w:sz w:val="19"/>
                <w:szCs w:val="19"/>
              </w:rPr>
              <w:t xml:space="preserve">Add age, gender, city breakdown</w:t>
            </w:r>
          </w:p>
        </w:tc>
      </w:tr>
      <w:tr>
        <w:trPr>
          <w:tblHeader w:val="false"/>
        </w:trPr>
        <w:tc>
          <w:tcPr>
            <w:tcW w:type="dxa" w:w="29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color w:val="000000"/>
                <w:sz w:val="19"/>
                <w:szCs w:val="19"/>
              </w:rPr>
              <w:t xml:space="preserve">Uniform results</w:t>
            </w:r>
          </w:p>
        </w:tc>
        <w:tc>
          <w:tcPr>
            <w:tcW w:type="dxa" w:w="31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color w:val="000000"/>
                <w:sz w:val="19"/>
                <w:szCs w:val="19"/>
              </w:rPr>
              <w:t xml:space="preserve">No clear winner to scale</w:t>
            </w:r>
          </w:p>
        </w:tc>
        <w:tc>
          <w:tcPr>
            <w:tcW w:type="dxa" w:w="33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color w:val="000000"/>
                <w:sz w:val="19"/>
                <w:szCs w:val="19"/>
              </w:rPr>
              <w:t xml:space="preserve">Run one-variable A/B tests for 4–6 weeks</w:t>
            </w:r>
          </w:p>
        </w:tc>
      </w:tr>
      <w:tr>
        <w:trPr>
          <w:tblHeader w:val="false"/>
        </w:trPr>
        <w:tc>
          <w:tcPr>
            <w:tcW w:type="dxa" w:w="29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color w:val="000000"/>
                <w:sz w:val="19"/>
                <w:szCs w:val="19"/>
              </w:rPr>
              <w:t xml:space="preserve">Partial months</w:t>
            </w:r>
          </w:p>
        </w:tc>
        <w:tc>
          <w:tcPr>
            <w:tcW w:type="dxa" w:w="31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color w:val="000000"/>
                <w:sz w:val="19"/>
                <w:szCs w:val="19"/>
              </w:rPr>
              <w:t xml:space="preserve">Distorts trends</w:t>
            </w:r>
          </w:p>
        </w:tc>
        <w:tc>
          <w:tcPr>
            <w:tcW w:type="dxa" w:w="33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color w:val="000000"/>
                <w:sz w:val="19"/>
                <w:szCs w:val="19"/>
              </w:rPr>
              <w:t xml:space="preserve">Report full months only</w:t>
            </w:r>
          </w:p>
        </w:tc>
      </w:tr>
    </w:tbl>
    <w:p>
      <w:pPr>
        <w:pStyle w:val="Heading2"/>
        <w:spacing w:after="80" w:before="200"/>
      </w:pPr>
      <w:r>
        <w:t xml:space="preserve">4.4 Campaign ideas</w:t>
      </w:r>
    </w:p>
    <w:p>
      <w:pPr>
        <w:pStyle w:val="ListParagraph"/>
        <w:numPr>
          <w:ilvl w:val="0"/>
          <w:numId w:val="2"/>
        </w:numPr>
        <w:spacing w:after="60"/>
      </w:pPr>
      <w:r>
        <w:rPr>
          <w:b/>
          <w:bCs/>
        </w:rPr>
        <w:t xml:space="preserve">#BoldLooksChallenge: </w:t>
      </w:r>
      <w:r>
        <w:t xml:space="preserve">UGC makeup challenge with a giveaway for best look.</w:t>
      </w:r>
    </w:p>
    <w:p>
      <w:pPr>
        <w:pStyle w:val="ListParagraph"/>
        <w:numPr>
          <w:ilvl w:val="0"/>
          <w:numId w:val="2"/>
        </w:numPr>
        <w:spacing w:after="60"/>
      </w:pPr>
      <w:r>
        <w:rPr>
          <w:b/>
          <w:bCs/>
        </w:rPr>
        <w:t xml:space="preserve">Vegan &amp; Cruelty-Free, Explained: </w:t>
      </w:r>
      <w:r>
        <w:t xml:space="preserve">short Reel series with saveable ingredient cards.</w:t>
      </w:r>
    </w:p>
    <w:p>
      <w:pPr>
        <w:pStyle w:val="ListParagraph"/>
        <w:numPr>
          <w:ilvl w:val="0"/>
          <w:numId w:val="2"/>
        </w:numPr>
        <w:spacing w:after="60"/>
      </w:pPr>
      <w:r>
        <w:rPr>
          <w:b/>
          <w:bCs/>
        </w:rPr>
        <w:t xml:space="preserve">Festive Collab Drop: </w:t>
      </w:r>
      <w:r>
        <w:t xml:space="preserve">influencer-led festive offer to lift the lowest-performing campaign type.</w:t>
      </w:r>
    </w:p>
    <w:sectPr>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color w:val="1A1A1A"/>
      <w:sz w:val="30"/>
      <w:szCs w:val="30"/>
    </w:rPr>
  </w:style>
  <w:style w:type="paragraph" w:styleId="Heading2">
    <w:name w:val="Heading 2"/>
    <w:basedOn w:val="Normal"/>
    <w:next w:val="Normal"/>
    <w:qFormat/>
    <w:pPr>
      <w:outlineLvl w:val="1"/>
    </w:pPr>
    <w:rPr>
      <w:b/>
      <w:bCs/>
      <w:color w:val="E6007E"/>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8d4fc1b6482dd8b0bf20d62d0a2a4fc07e3742e.png"/><Relationship Id="rId8" Type="http://schemas.openxmlformats.org/officeDocument/2006/relationships/image" Target="media/7e596f2f7c849c12e59142de4d4f274abde5b712.png"/><Relationship Id="rId9" Type="http://schemas.openxmlformats.org/officeDocument/2006/relationships/image" Target="media/665ca8c8998b0328b761ff14d29b5bb737c0f3fe.png"/><Relationship Id="rId10" Type="http://schemas.openxmlformats.org/officeDocument/2006/relationships/image" Target="media/fa85ffc2abf7bb9d6490d31b0ad259f097e8e959.png"/><Relationship Id="rId11" Type="http://schemas.openxmlformats.org/officeDocument/2006/relationships/image" Target="media/ae5100af17c81eb8bbd6c2eb8c07230dcec6c00c.png"/><Relationship Id="rId12" Type="http://schemas.openxmlformats.org/officeDocument/2006/relationships/image" Target="media/169fed105efcc4cd4cfa1f2fb5ba0d81d2042fd6.png"/><Relationship Id="rId13" Type="http://schemas.openxmlformats.org/officeDocument/2006/relationships/image" Target="media/9ae3c832d3e2d54cfd54e35ea2f62689c73dd8fd.png"/><Relationship Id="rId14" Type="http://schemas.openxmlformats.org/officeDocument/2006/relationships/image" Target="media/079071b6fb00c5f981b85b37fe7254e00207a954.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2026-10-15T23:13:53.062Z</dcterms:created>
  <dcterms:modified xsi:type="dcterms:W3CDTF">2026-10-15T23:13:53.062Z</dcterms:modified>
</cp:coreProperties>
</file>

<file path=docProps/custom.xml><?xml version="1.0" encoding="utf-8"?>
<Properties xmlns="http://schemas.openxmlformats.org/officeDocument/2006/custom-properties" xmlns:vt="http://schemas.openxmlformats.org/officeDocument/2006/docPropsVTypes"/>
</file>