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8B64" w14:textId="56525C49" w:rsidR="009B004D" w:rsidRDefault="009B004D" w:rsidP="009B004D">
      <w:pPr>
        <w:jc w:val="center"/>
      </w:pPr>
      <w:r>
        <w:t>Enterprise Ransomware Risk Assessment</w:t>
      </w:r>
    </w:p>
    <w:p w14:paraId="4D3F5F0F" w14:textId="0B8221AB" w:rsidR="009B004D" w:rsidRDefault="009B004D" w:rsidP="009B004D">
      <w:pPr>
        <w:jc w:val="center"/>
      </w:pPr>
      <w:r>
        <w:t>Corporate Risk Register Mapped to the NIST Cybersecurity Framework 2.0</w:t>
      </w:r>
    </w:p>
    <w:p w14:paraId="132E933A" w14:textId="77777777" w:rsidR="009B004D" w:rsidRDefault="009B004D" w:rsidP="009B004D"/>
    <w:p w14:paraId="7CD2C433" w14:textId="30BB5BEC" w:rsidR="009B004D" w:rsidRDefault="009B004D" w:rsidP="009B004D">
      <w:pPr>
        <w:jc w:val="center"/>
      </w:pPr>
      <w:r>
        <w:t>Shubhrang Sinha</w:t>
      </w:r>
    </w:p>
    <w:p w14:paraId="3CBDD835" w14:textId="77777777" w:rsidR="009B004D" w:rsidRDefault="009B004D" w:rsidP="009B004D"/>
    <w:p w14:paraId="5A1C3082" w14:textId="4E2EC580" w:rsidR="009B004D" w:rsidRDefault="009B004D" w:rsidP="009B004D"/>
    <w:p w14:paraId="067DE178" w14:textId="77777777" w:rsidR="009B004D" w:rsidRDefault="009B004D" w:rsidP="009B004D"/>
    <w:p w14:paraId="263F5DD6" w14:textId="56E5D14E" w:rsidR="009B004D" w:rsidRDefault="009B004D" w:rsidP="009B004D">
      <w:r>
        <w:t>1. Executive Summary</w:t>
      </w:r>
    </w:p>
    <w:p w14:paraId="67FF98C8" w14:textId="77777777" w:rsidR="009B004D" w:rsidRDefault="009B004D" w:rsidP="009B004D">
      <w:r>
        <w:t>Ransomware remains one of the most disruptive threats to enterprises, combining data encryption</w:t>
      </w:r>
    </w:p>
    <w:p w14:paraId="1A0AE16E" w14:textId="3E75E7C7" w:rsidR="009B004D" w:rsidRDefault="009B004D" w:rsidP="009B004D">
      <w:r>
        <w:t>with data theft (double extortion). This project builds a structured risk register of 22 ransomware</w:t>
      </w:r>
      <w:r>
        <w:t xml:space="preserve"> </w:t>
      </w:r>
      <w:r>
        <w:t>risks for a hypothetical mid-size enterprise and maps each to NIST CSF 2.0.</w:t>
      </w:r>
    </w:p>
    <w:p w14:paraId="2E76EF49" w14:textId="77777777" w:rsidR="009B004D" w:rsidRDefault="009B004D" w:rsidP="009B004D"/>
    <w:p w14:paraId="23C69172" w14:textId="77777777" w:rsidR="009B004D" w:rsidRDefault="009B004D" w:rsidP="009B004D">
      <w:r>
        <w:t>Key findings:</w:t>
      </w:r>
    </w:p>
    <w:p w14:paraId="13C698A9" w14:textId="43592CA5" w:rsidR="009B004D" w:rsidRDefault="009B004D" w:rsidP="009B004D">
      <w:r>
        <w:t>- 7 risks are Critical and 9 High</w:t>
      </w:r>
      <w:r>
        <w:t xml:space="preserve"> </w:t>
      </w:r>
      <w:r>
        <w:t>before controls are improved; none are Low.</w:t>
      </w:r>
    </w:p>
    <w:p w14:paraId="44DB417E" w14:textId="604FE52D" w:rsidR="009B004D" w:rsidRDefault="009B004D" w:rsidP="009B004D">
      <w:r>
        <w:t>- The Protect function carries the most risk (average inherent score 19.0 of 25).</w:t>
      </w:r>
    </w:p>
    <w:p w14:paraId="2A6C5E29" w14:textId="6D664644" w:rsidR="009B004D" w:rsidRDefault="009B004D" w:rsidP="009B004D">
      <w:r>
        <w:t>- Implementing the recommended treatments lowers the average score from 15.7 to 7.5(about 52% reduction), leaving 21 risks at Medium and 1 at Low.</w:t>
      </w:r>
    </w:p>
    <w:p w14:paraId="1A650724" w14:textId="77777777" w:rsidR="009B004D" w:rsidRDefault="009B004D" w:rsidP="009B004D">
      <w:r>
        <w:t>- The top priorities are MFA on remote access, immutable backups, patching of internet-facing systems, privileged-access control, network segmentation and phishing defences.</w:t>
      </w:r>
    </w:p>
    <w:p w14:paraId="30CFA50E" w14:textId="77777777" w:rsidR="009B004D" w:rsidRDefault="009B004D" w:rsidP="009B004D"/>
    <w:p w14:paraId="28FBCDAC" w14:textId="32B8951A" w:rsidR="009B004D" w:rsidRDefault="009B004D" w:rsidP="009B004D">
      <w:r>
        <w:t>2. Problem Statement and Objectives</w:t>
      </w:r>
    </w:p>
    <w:p w14:paraId="5F0E132D" w14:textId="77777777" w:rsidR="009B004D" w:rsidRDefault="009B004D" w:rsidP="009B004D">
      <w:r>
        <w:t>Organisations need a clear, prioritised view of ransomware exposure aligned with a recognised framework.</w:t>
      </w:r>
    </w:p>
    <w:p w14:paraId="3A02A16E" w14:textId="77777777" w:rsidR="009B004D" w:rsidRDefault="009B004D" w:rsidP="009B004D">
      <w:r>
        <w:t>Objectives:</w:t>
      </w:r>
    </w:p>
    <w:p w14:paraId="11F7CB03" w14:textId="77777777" w:rsidR="009B004D" w:rsidRDefault="009B004D" w:rsidP="009B004D">
      <w:r>
        <w:t>1. Identify ransomware-relevant risks across people, process and technology.</w:t>
      </w:r>
    </w:p>
    <w:p w14:paraId="6A33E198" w14:textId="77777777" w:rsidR="009B004D" w:rsidRDefault="009B004D" w:rsidP="009B004D">
      <w:r>
        <w:t>2. Map each risk to NIST CSF 2.0 Functions, Categories and Subcategories.</w:t>
      </w:r>
    </w:p>
    <w:p w14:paraId="63626433" w14:textId="77777777" w:rsidR="009B004D" w:rsidRDefault="009B004D" w:rsidP="009B004D">
      <w:r>
        <w:t>3. Quantify inherent and residual risk and prioritise treatment.</w:t>
      </w:r>
    </w:p>
    <w:p w14:paraId="50AAEC84" w14:textId="77777777" w:rsidR="009B004D" w:rsidRDefault="009B004D" w:rsidP="009B004D">
      <w:r>
        <w:t>4. Automate generation of the register and visuals using Python.</w:t>
      </w:r>
    </w:p>
    <w:p w14:paraId="484064AF" w14:textId="77777777" w:rsidR="009B004D" w:rsidRDefault="009B004D" w:rsidP="009B004D"/>
    <w:p w14:paraId="69637A85" w14:textId="7B6B7F96" w:rsidR="009B004D" w:rsidRDefault="009B004D" w:rsidP="009B004D">
      <w:r>
        <w:t>3. Scope and Assumptions</w:t>
      </w:r>
    </w:p>
    <w:p w14:paraId="28601E34" w14:textId="77777777" w:rsidR="009B004D" w:rsidRDefault="009B004D" w:rsidP="009B004D">
      <w:r>
        <w:t>- Hypothetical mid-size enterprise: hybrid on-prem/cloud, remote workforce, third-party vendors, some legacy systems.</w:t>
      </w:r>
    </w:p>
    <w:p w14:paraId="0A737B39" w14:textId="77777777" w:rsidR="009B004D" w:rsidRDefault="009B004D" w:rsidP="009B004D">
      <w:r>
        <w:t>- Scope covers the ransomware attack lifecycle: initial access, privilege escalation, lateral movement, exfiltration, encryption, response and recovery.</w:t>
      </w:r>
    </w:p>
    <w:p w14:paraId="0B4AF461" w14:textId="77777777" w:rsidR="009B004D" w:rsidRDefault="009B004D" w:rsidP="009B004D">
      <w:r>
        <w:t>- Scores are expert-judgement estimates, not measured data.</w:t>
      </w:r>
    </w:p>
    <w:p w14:paraId="558DE954" w14:textId="77777777" w:rsidR="009B004D" w:rsidRDefault="009B004D" w:rsidP="009B004D"/>
    <w:p w14:paraId="403D2F48" w14:textId="41A69819" w:rsidR="009B004D" w:rsidRDefault="009B004D" w:rsidP="009B004D">
      <w:r>
        <w:t xml:space="preserve"> 4. Methodology</w:t>
      </w:r>
    </w:p>
    <w:p w14:paraId="064BA8FD" w14:textId="36C57366" w:rsidR="009B004D" w:rsidRDefault="009B004D" w:rsidP="009B004D">
      <w:r>
        <w:t>1. Threat modelling: Ransomware kill chain reviewed (phishing/exposed services -&gt; credential theft -&gt; privilege escalation -&gt; lateral movement -&gt; exfiltration -&gt; encryption).</w:t>
      </w:r>
    </w:p>
    <w:p w14:paraId="1F9E9E7F" w14:textId="6A05F2D8" w:rsidR="009B004D" w:rsidRDefault="009B004D" w:rsidP="009B004D">
      <w:r>
        <w:t>2. Risk identification:</w:t>
      </w:r>
      <w:r w:rsidR="003E36F5">
        <w:t xml:space="preserve"> </w:t>
      </w:r>
      <w:r>
        <w:t>Risks derived from common ransomware entry points, control gaps and recovery weaknesses, informed by CISA #StopRansomware guidance and NIST IR 8374.</w:t>
      </w:r>
    </w:p>
    <w:p w14:paraId="23332489" w14:textId="351BCD77" w:rsidR="009B004D" w:rsidRDefault="009B004D" w:rsidP="009B004D">
      <w:r>
        <w:t>3. Framework mapping: Each risk assigned to one CSF 2.0 Function, Category and Subcategory.</w:t>
      </w:r>
    </w:p>
    <w:p w14:paraId="7C0D70A9" w14:textId="6645E830" w:rsidR="009B004D" w:rsidRDefault="009B004D" w:rsidP="009B004D">
      <w:r>
        <w:t>4. Scoring: Risk = Likelihood (1-5) x Impact (1-5).</w:t>
      </w:r>
    </w:p>
    <w:p w14:paraId="2AA7FBE1" w14:textId="77777777" w:rsidR="009B004D" w:rsidRDefault="009B004D" w:rsidP="009B004D"/>
    <w:p w14:paraId="0976C394" w14:textId="77777777" w:rsidR="009B004D" w:rsidRDefault="009B004D" w:rsidP="009B004D">
      <w:r>
        <w:t>| Score | Rating |</w:t>
      </w:r>
    </w:p>
    <w:p w14:paraId="2C39BA44" w14:textId="6F4BCB08" w:rsidR="009B004D" w:rsidRDefault="009B004D" w:rsidP="009B004D"/>
    <w:p w14:paraId="4F5FCF78" w14:textId="77777777" w:rsidR="003E36F5" w:rsidRDefault="009B004D" w:rsidP="009B004D">
      <w:r>
        <w:t xml:space="preserve">1-5 | Low </w:t>
      </w:r>
    </w:p>
    <w:p w14:paraId="79DB2699" w14:textId="09B04858" w:rsidR="009B004D" w:rsidRDefault="009B004D" w:rsidP="009B004D">
      <w:r>
        <w:t xml:space="preserve"> 6-12 | Medium </w:t>
      </w:r>
    </w:p>
    <w:p w14:paraId="6764BA49" w14:textId="72F6BA67" w:rsidR="009B004D" w:rsidRDefault="009B004D" w:rsidP="009B004D">
      <w:r>
        <w:t xml:space="preserve">13-19 | High </w:t>
      </w:r>
    </w:p>
    <w:p w14:paraId="1E4B625B" w14:textId="60128BA3" w:rsidR="009B004D" w:rsidRDefault="009B004D" w:rsidP="009B004D">
      <w:r>
        <w:t xml:space="preserve">20-25 | Critical </w:t>
      </w:r>
    </w:p>
    <w:p w14:paraId="4D08FCBF" w14:textId="77777777" w:rsidR="009B004D" w:rsidRDefault="009B004D" w:rsidP="009B004D"/>
    <w:p w14:paraId="6CD5145C" w14:textId="4BE1FDCD" w:rsidR="009B004D" w:rsidRDefault="009B004D" w:rsidP="009B004D">
      <w:r>
        <w:t>5. Treatment planning: Controls recommended per risk; residual likelihood and impact re-scored assuming full implementation.</w:t>
      </w:r>
    </w:p>
    <w:p w14:paraId="457AF99E" w14:textId="776107CA" w:rsidR="009B004D" w:rsidRDefault="009B004D" w:rsidP="009B004D">
      <w:r>
        <w:t>6. Automation: `risk_register.py` builds the register, calculates scores and produces CSV, Excel and charts.</w:t>
      </w:r>
    </w:p>
    <w:p w14:paraId="19C70754" w14:textId="77777777" w:rsidR="009B004D" w:rsidRDefault="009B004D" w:rsidP="009B004D"/>
    <w:p w14:paraId="68C17037" w14:textId="77777777" w:rsidR="003E36F5" w:rsidRDefault="003E36F5" w:rsidP="009B004D"/>
    <w:p w14:paraId="0370EEB2" w14:textId="54129A97" w:rsidR="009B004D" w:rsidRDefault="009B004D" w:rsidP="009B004D">
      <w:r>
        <w:lastRenderedPageBreak/>
        <w:t>5. NIST CSF 2.0 Mapping</w:t>
      </w:r>
    </w:p>
    <w:p w14:paraId="1E81D997" w14:textId="77777777" w:rsidR="009B004D" w:rsidRDefault="009B004D" w:rsidP="009B004D">
      <w:r>
        <w:t>| Function | Purpose in ransomware context | Example risk (Subcategory) |</w:t>
      </w:r>
    </w:p>
    <w:p w14:paraId="76852ECC" w14:textId="38C0F3B4" w:rsidR="009B004D" w:rsidRDefault="009B004D" w:rsidP="009B004D"/>
    <w:p w14:paraId="6E614A1C" w14:textId="77777777" w:rsidR="009B004D" w:rsidRDefault="009B004D" w:rsidP="009B004D">
      <w:r>
        <w:t>| Govern (GV) | Board oversight, policy, supply chain | No ransom policy (GV.PO-01) |</w:t>
      </w:r>
    </w:p>
    <w:p w14:paraId="2564F3B5" w14:textId="32820920" w:rsidR="009B004D" w:rsidRDefault="009B004D" w:rsidP="009B004D">
      <w:r>
        <w:t>| Identify (ID) | Know assets, vulnerabilities, impact | Incomplete asset inventory (ID.AM-01)</w:t>
      </w:r>
      <w:r w:rsidR="003E36F5">
        <w:t>|</w:t>
      </w:r>
    </w:p>
    <w:p w14:paraId="2CE63102" w14:textId="77777777" w:rsidR="009B004D" w:rsidRDefault="009B004D" w:rsidP="009B004D">
      <w:r>
        <w:t>| Protect (PR) | Access control, training, backups, segmentation | Backups not immutable (PR.DS-11) |</w:t>
      </w:r>
    </w:p>
    <w:p w14:paraId="15F2F3CB" w14:textId="77777777" w:rsidR="009B004D" w:rsidRDefault="009B004D" w:rsidP="009B004D">
      <w:r>
        <w:t>| Detect (DE) | Monitor and analyse for intrusions | No EDR (DE.CM-09) |</w:t>
      </w:r>
    </w:p>
    <w:p w14:paraId="247F72F6" w14:textId="77777777" w:rsidR="009B004D" w:rsidRDefault="009B004D" w:rsidP="009B004D">
      <w:r>
        <w:t>| Respond (RS) | Execute incident response and communications | No tested IR plan (RS.MA-01) |</w:t>
      </w:r>
    </w:p>
    <w:p w14:paraId="486A1465" w14:textId="77777777" w:rsidR="009B004D" w:rsidRDefault="009B004D" w:rsidP="009B004D">
      <w:r>
        <w:t>| Recover (RC) | Restore operations and verify backups | Untested restoration (RC.RP-03) |</w:t>
      </w:r>
    </w:p>
    <w:p w14:paraId="289D360B" w14:textId="77777777" w:rsidR="009B004D" w:rsidRDefault="009B004D" w:rsidP="009B004D"/>
    <w:p w14:paraId="322F052F" w14:textId="55E342DC" w:rsidR="009B004D" w:rsidRDefault="009B004D" w:rsidP="009B004D">
      <w:r>
        <w:t>6. Results</w:t>
      </w:r>
    </w:p>
    <w:p w14:paraId="50E6B6F6" w14:textId="7CB6F6A3" w:rsidR="009B004D" w:rsidRDefault="009B004D" w:rsidP="009B004D">
      <w:r>
        <w:t xml:space="preserve"> 6.1 Risk distribution</w:t>
      </w:r>
    </w:p>
    <w:p w14:paraId="3E05E1DF" w14:textId="77777777" w:rsidR="009B004D" w:rsidRDefault="009B004D" w:rsidP="009B004D">
      <w:r>
        <w:t>| Rating | Inherent | Residual |</w:t>
      </w:r>
    </w:p>
    <w:p w14:paraId="02B6EE13" w14:textId="2AA84CD4" w:rsidR="009B004D" w:rsidRDefault="009B004D" w:rsidP="009B004D"/>
    <w:p w14:paraId="3ED7FC02" w14:textId="77777777" w:rsidR="009B004D" w:rsidRDefault="009B004D" w:rsidP="009B004D">
      <w:r>
        <w:t>| Critical | 7 | 0 |</w:t>
      </w:r>
    </w:p>
    <w:p w14:paraId="7EEBBFE7" w14:textId="77777777" w:rsidR="009B004D" w:rsidRDefault="009B004D" w:rsidP="009B004D">
      <w:r>
        <w:t>| High | 9 | 0 |</w:t>
      </w:r>
    </w:p>
    <w:p w14:paraId="352DF655" w14:textId="77777777" w:rsidR="009B004D" w:rsidRDefault="009B004D" w:rsidP="009B004D">
      <w:r>
        <w:t>| Medium | 6 | 21 |</w:t>
      </w:r>
    </w:p>
    <w:p w14:paraId="3F4FE6A2" w14:textId="77777777" w:rsidR="009B004D" w:rsidRDefault="009B004D" w:rsidP="009B004D">
      <w:r>
        <w:t>| Low | 0 | 1 |</w:t>
      </w:r>
    </w:p>
    <w:p w14:paraId="774FA0D3" w14:textId="77777777" w:rsidR="009B004D" w:rsidRDefault="009B004D" w:rsidP="009B004D"/>
    <w:p w14:paraId="44D9C5E6" w14:textId="571455FE" w:rsidR="009B004D" w:rsidRDefault="009B004D" w:rsidP="009B004D">
      <w:r>
        <w:t xml:space="preserve"> 6.2 Average score by CSF function</w:t>
      </w:r>
    </w:p>
    <w:p w14:paraId="7189DD25" w14:textId="77777777" w:rsidR="009B004D" w:rsidRDefault="009B004D" w:rsidP="009B004D">
      <w:r>
        <w:t>| Function | Inherent | Residual |</w:t>
      </w:r>
    </w:p>
    <w:p w14:paraId="50F5D76A" w14:textId="33ABC90E" w:rsidR="009B004D" w:rsidRDefault="009B004D" w:rsidP="009B004D"/>
    <w:p w14:paraId="0255EAD5" w14:textId="77777777" w:rsidR="009B004D" w:rsidRDefault="009B004D" w:rsidP="009B004D">
      <w:r>
        <w:t>| Protect | 19.0 | 8.9 |</w:t>
      </w:r>
    </w:p>
    <w:p w14:paraId="351EA161" w14:textId="77777777" w:rsidR="009B004D" w:rsidRDefault="009B004D" w:rsidP="009B004D">
      <w:r>
        <w:t>| Detect | 16.0 | 6.0 |</w:t>
      </w:r>
    </w:p>
    <w:p w14:paraId="7321E253" w14:textId="77777777" w:rsidR="009B004D" w:rsidRDefault="009B004D" w:rsidP="009B004D">
      <w:r>
        <w:t>| Recover | 15.5 | 6.0 |</w:t>
      </w:r>
    </w:p>
    <w:p w14:paraId="75F4840F" w14:textId="77777777" w:rsidR="009B004D" w:rsidRDefault="009B004D" w:rsidP="009B004D">
      <w:r>
        <w:t>| Respond | 13.5 | 6.0 |</w:t>
      </w:r>
    </w:p>
    <w:p w14:paraId="407B21AB" w14:textId="77777777" w:rsidR="009B004D" w:rsidRDefault="009B004D" w:rsidP="009B004D">
      <w:r>
        <w:lastRenderedPageBreak/>
        <w:t>| Identify | 12.2 | 7.0 |</w:t>
      </w:r>
    </w:p>
    <w:p w14:paraId="4EC77E74" w14:textId="77777777" w:rsidR="009B004D" w:rsidRDefault="009B004D" w:rsidP="009B004D">
      <w:r>
        <w:t>| Govern | 11.7 | 6.7 |</w:t>
      </w:r>
    </w:p>
    <w:p w14:paraId="564B001B" w14:textId="77777777" w:rsidR="009B004D" w:rsidRDefault="009B004D" w:rsidP="009B004D"/>
    <w:p w14:paraId="164FEF17" w14:textId="77777777" w:rsidR="009B004D" w:rsidRDefault="009B004D" w:rsidP="009B004D">
      <w:r>
        <w:t>![CSF scores](output/csf_function_scores.png)</w:t>
      </w:r>
    </w:p>
    <w:p w14:paraId="139412AF" w14:textId="77777777" w:rsidR="009B004D" w:rsidRDefault="009B004D" w:rsidP="009B004D"/>
    <w:p w14:paraId="329D886F" w14:textId="48C678F7" w:rsidR="009B004D" w:rsidRDefault="009B004D" w:rsidP="009B004D">
      <w:r>
        <w:t>6.3 Heat maps</w:t>
      </w:r>
    </w:p>
    <w:p w14:paraId="6087E164" w14:textId="77777777" w:rsidR="009B004D" w:rsidRDefault="009B004D" w:rsidP="009B004D">
      <w:r>
        <w:t>![Heat maps](output/heatmap.png)</w:t>
      </w:r>
    </w:p>
    <w:p w14:paraId="57DE95B7" w14:textId="77777777" w:rsidR="009B004D" w:rsidRDefault="009B004D" w:rsidP="009B004D"/>
    <w:p w14:paraId="112265E6" w14:textId="1B4C7332" w:rsidR="009B004D" w:rsidRDefault="009B004D" w:rsidP="009B004D">
      <w:r>
        <w:t>6.4 Top risks</w:t>
      </w:r>
    </w:p>
    <w:p w14:paraId="6FABE8EA" w14:textId="77777777" w:rsidR="009B004D" w:rsidRDefault="009B004D" w:rsidP="009B004D">
      <w:r>
        <w:t>![Top 10](output/top10_risks.png)</w:t>
      </w:r>
    </w:p>
    <w:p w14:paraId="31135A56" w14:textId="77777777" w:rsidR="009B004D" w:rsidRDefault="009B004D" w:rsidP="009B004D"/>
    <w:p w14:paraId="4E7D5C80" w14:textId="77777777" w:rsidR="009B004D" w:rsidRDefault="009B004D" w:rsidP="009B004D">
      <w:r>
        <w:t>| ID | Risk | Inherent | Residual |</w:t>
      </w:r>
    </w:p>
    <w:p w14:paraId="3A526A60" w14:textId="269071D6" w:rsidR="009B004D" w:rsidRDefault="009B004D" w:rsidP="009B004D"/>
    <w:p w14:paraId="06C7B07B" w14:textId="77777777" w:rsidR="009B004D" w:rsidRDefault="009B004D" w:rsidP="009B004D">
      <w:r>
        <w:t>| R01 | Phishing-led initial access | 20 | 9 |</w:t>
      </w:r>
    </w:p>
    <w:p w14:paraId="35CA1CBA" w14:textId="77777777" w:rsidR="009B004D" w:rsidRDefault="009B004D" w:rsidP="009B004D">
      <w:r>
        <w:t>| R02 | Remote access without MFA | 20 | 8 |</w:t>
      </w:r>
    </w:p>
    <w:p w14:paraId="25BCCE55" w14:textId="77777777" w:rsidR="009B004D" w:rsidRDefault="009B004D" w:rsidP="009B004D">
      <w:r>
        <w:t>| R03 | Unpatched internet-facing systems | 20 | 8 |</w:t>
      </w:r>
    </w:p>
    <w:p w14:paraId="574466A6" w14:textId="77777777" w:rsidR="009B004D" w:rsidRDefault="009B004D" w:rsidP="009B004D">
      <w:r>
        <w:t>| R06 | Excessive privileges / domain admin compromise | 20 | 8 |</w:t>
      </w:r>
    </w:p>
    <w:p w14:paraId="7622CAFD" w14:textId="77777777" w:rsidR="009B004D" w:rsidRDefault="009B004D" w:rsidP="009B004D">
      <w:r>
        <w:t>| R07 | Flat network enabling lateral movement | 20 | 8 |</w:t>
      </w:r>
    </w:p>
    <w:p w14:paraId="2FD24033" w14:textId="77777777" w:rsidR="009B004D" w:rsidRDefault="009B004D" w:rsidP="009B004D">
      <w:r>
        <w:t>| R08 | Backups not immutable or offline | 20 | 6 |</w:t>
      </w:r>
    </w:p>
    <w:p w14:paraId="2FF5BAC5" w14:textId="77777777" w:rsidR="009B004D" w:rsidRDefault="009B004D" w:rsidP="009B004D">
      <w:r>
        <w:t>| R12 | Data exfiltration (double extortion) | 20 | 12 |</w:t>
      </w:r>
    </w:p>
    <w:p w14:paraId="010AF408" w14:textId="77777777" w:rsidR="009B004D" w:rsidRDefault="009B004D" w:rsidP="009B004D"/>
    <w:p w14:paraId="1C408FEE" w14:textId="77777777" w:rsidR="009B004D" w:rsidRDefault="009B004D" w:rsidP="009B004D">
      <w:r>
        <w:t>The full register (all 22 risks with controls, owners and timelines) is in `output/risk_register.xlsx`.</w:t>
      </w:r>
    </w:p>
    <w:p w14:paraId="73DE59B4" w14:textId="77777777" w:rsidR="009B004D" w:rsidRDefault="009B004D" w:rsidP="009B004D"/>
    <w:p w14:paraId="0596C8EB" w14:textId="77777777" w:rsidR="00AD3DFE" w:rsidRDefault="00AD3DFE" w:rsidP="009B004D"/>
    <w:p w14:paraId="029F0010" w14:textId="77777777" w:rsidR="00AD3DFE" w:rsidRDefault="00AD3DFE" w:rsidP="009B004D"/>
    <w:p w14:paraId="2046305E" w14:textId="77777777" w:rsidR="00AD3DFE" w:rsidRDefault="00AD3DFE" w:rsidP="009B004D"/>
    <w:p w14:paraId="69E1F706" w14:textId="77777777" w:rsidR="00AD3DFE" w:rsidRDefault="00AD3DFE" w:rsidP="009B004D"/>
    <w:p w14:paraId="3424353B" w14:textId="3FBA51D4" w:rsidR="009B004D" w:rsidRDefault="009B004D" w:rsidP="009B004D">
      <w:r>
        <w:lastRenderedPageBreak/>
        <w:t>7. Analysis and Recommendations</w:t>
      </w:r>
    </w:p>
    <w:p w14:paraId="6C1AEAC7" w14:textId="42DB38E9" w:rsidR="009B004D" w:rsidRDefault="009B004D" w:rsidP="009B004D">
      <w:r>
        <w:t>Immediate (0-60 days): enforce phishing-resistant MFA on VPN/RDP; patch actively exploited internet-facing vulnerabilities within 72 hours; deploy immutable/offline backups with separate credentials; start phishing simulations.</w:t>
      </w:r>
    </w:p>
    <w:p w14:paraId="5FADC608" w14:textId="77777777" w:rsidR="009B004D" w:rsidRDefault="009B004D" w:rsidP="009B004D"/>
    <w:p w14:paraId="289316EC" w14:textId="2946A3F0" w:rsidR="009B004D" w:rsidRDefault="009B004D" w:rsidP="009B004D">
      <w:r>
        <w:t>Short term (30-120 days):</w:t>
      </w:r>
      <w:r w:rsidR="00AD3DFE">
        <w:t xml:space="preserve"> </w:t>
      </w:r>
      <w:r>
        <w:t>deploy EDR; implement privileged access management and tiered admin; run quarterly restore tests; create a ransomware IR playbook and hold a tabletop exercise; complete a Business Impact Analysis.</w:t>
      </w:r>
    </w:p>
    <w:p w14:paraId="2DE3126F" w14:textId="77777777" w:rsidR="009B004D" w:rsidRDefault="009B004D" w:rsidP="009B004D"/>
    <w:p w14:paraId="7B46F6BA" w14:textId="6F3E2221" w:rsidR="009B004D" w:rsidRDefault="009B004D" w:rsidP="009B004D">
      <w:r>
        <w:t>Medium term (60-240 days): segment the network; deploy SIEM with 24/7 MDR; implement DLP and data classification; formalise vendor risk management; establish board-level reporting and a ransom payment decision policy; isolate legacy/OT systems.</w:t>
      </w:r>
    </w:p>
    <w:p w14:paraId="6C742592" w14:textId="77777777" w:rsidR="009B004D" w:rsidRDefault="009B004D" w:rsidP="009B004D"/>
    <w:p w14:paraId="3ED23060" w14:textId="12ACCBE6" w:rsidR="009B004D" w:rsidRDefault="009B004D" w:rsidP="009B004D">
      <w:r>
        <w:t>Observation: R12 (data exfiltration) retains the highest residual score (12) because backups do not mitigate data theft; it needs continued investment in DLP and egress monitoring.</w:t>
      </w:r>
    </w:p>
    <w:p w14:paraId="2096A0BA" w14:textId="77777777" w:rsidR="009B004D" w:rsidRDefault="009B004D" w:rsidP="009B004D"/>
    <w:p w14:paraId="4DA0CED8" w14:textId="028A057B" w:rsidR="009B004D" w:rsidRDefault="009B004D" w:rsidP="009B004D">
      <w:r>
        <w:t>8. Limitations</w:t>
      </w:r>
    </w:p>
    <w:p w14:paraId="2D2C150E" w14:textId="77777777" w:rsidR="009B004D" w:rsidRDefault="009B004D" w:rsidP="009B004D">
      <w:r>
        <w:t>- Scores rely on qualitative judgement and a hypothetical organisation.</w:t>
      </w:r>
    </w:p>
    <w:p w14:paraId="0F3072BC" w14:textId="77777777" w:rsidR="009B004D" w:rsidRDefault="009B004D" w:rsidP="009B004D">
      <w:r>
        <w:t>- Residual scores assume full implementation of treatments.</w:t>
      </w:r>
    </w:p>
    <w:p w14:paraId="50AE560F" w14:textId="77777777" w:rsidR="009B004D" w:rsidRDefault="009B004D" w:rsidP="009B004D">
      <w:r>
        <w:t>- Does not model financial loss (e.g. FAIR quantification) or control cost.</w:t>
      </w:r>
    </w:p>
    <w:p w14:paraId="4B286D64" w14:textId="77777777" w:rsidR="009B004D" w:rsidRDefault="009B004D" w:rsidP="009B004D"/>
    <w:p w14:paraId="68F97D67" w14:textId="35E461E5" w:rsidR="009B004D" w:rsidRDefault="009B004D" w:rsidP="009B004D">
      <w:r>
        <w:t xml:space="preserve"> 9. Future Work</w:t>
      </w:r>
    </w:p>
    <w:p w14:paraId="464CBDB9" w14:textId="77777777" w:rsidR="009B004D" w:rsidRDefault="009B004D" w:rsidP="009B004D">
      <w:r>
        <w:t>- Quantitative analysis using FAIR or Monte Carlo simulation.</w:t>
      </w:r>
    </w:p>
    <w:p w14:paraId="09172BDD" w14:textId="77777777" w:rsidR="009B004D" w:rsidRDefault="009B004D" w:rsidP="009B004D">
      <w:r>
        <w:t>- Import real asset and vulnerability data.</w:t>
      </w:r>
    </w:p>
    <w:p w14:paraId="58FA85F7" w14:textId="77777777" w:rsidR="009B004D" w:rsidRDefault="009B004D" w:rsidP="009B004D">
      <w:r>
        <w:t>- Interactive dashboard (Streamlit) and CSF Profile gap analysis.</w:t>
      </w:r>
    </w:p>
    <w:p w14:paraId="1DF235EA" w14:textId="77777777" w:rsidR="009B004D" w:rsidRDefault="009B004D" w:rsidP="009B004D">
      <w:r>
        <w:t>- Map to MITRE ATT&amp;CK techniques and CIS Controls.</w:t>
      </w:r>
    </w:p>
    <w:p w14:paraId="700B1C09" w14:textId="77777777" w:rsidR="009B004D" w:rsidRDefault="009B004D" w:rsidP="009B004D"/>
    <w:p w14:paraId="73E95874" w14:textId="77777777" w:rsidR="00AD3DFE" w:rsidRDefault="00AD3DFE" w:rsidP="009B004D"/>
    <w:p w14:paraId="64C1779D" w14:textId="77777777" w:rsidR="00AD3DFE" w:rsidRDefault="00AD3DFE" w:rsidP="009B004D"/>
    <w:p w14:paraId="1804CAF0" w14:textId="77777777" w:rsidR="00AD3DFE" w:rsidRDefault="00AD3DFE" w:rsidP="009B004D"/>
    <w:p w14:paraId="753F70CA" w14:textId="6D169FFE" w:rsidR="009B004D" w:rsidRDefault="009B004D" w:rsidP="009B004D">
      <w:r>
        <w:lastRenderedPageBreak/>
        <w:t xml:space="preserve"> 10. Conclusion</w:t>
      </w:r>
    </w:p>
    <w:p w14:paraId="1DD6E866" w14:textId="77777777" w:rsidR="009B004D" w:rsidRDefault="009B004D" w:rsidP="009B004D">
      <w:r>
        <w:t>A structured, framework-aligned register makes ransomware risk visible and actionable. Focusing first on access control, patching, backups and phishing resilience delivers the largest reduction in exposure, and automating the register keeps it repeatable and easy to update.</w:t>
      </w:r>
    </w:p>
    <w:p w14:paraId="589E6400" w14:textId="77777777" w:rsidR="009B004D" w:rsidRDefault="009B004D" w:rsidP="009B004D"/>
    <w:p w14:paraId="4F6F30C3" w14:textId="0F555FC3" w:rsidR="009B004D" w:rsidRDefault="009B004D" w:rsidP="009B004D">
      <w:r>
        <w:t>11. References</w:t>
      </w:r>
    </w:p>
    <w:p w14:paraId="77AE7DBB" w14:textId="252460FD" w:rsidR="009B004D" w:rsidRDefault="009B004D" w:rsidP="009B004D">
      <w:r>
        <w:t>1. NIST, Cybersecurity Framework 2.0, 2024.</w:t>
      </w:r>
    </w:p>
    <w:p w14:paraId="7C1A676A" w14:textId="24B1EB56" w:rsidR="009B004D" w:rsidRDefault="009B004D" w:rsidP="009B004D">
      <w:r>
        <w:t>2. NIST IR 8374, Ransomware Risk Management: A CSF Profile.</w:t>
      </w:r>
    </w:p>
    <w:p w14:paraId="1BFE50B6" w14:textId="4246BEB8" w:rsidR="009B004D" w:rsidRDefault="009B004D" w:rsidP="009B004D">
      <w:r>
        <w:t>3. CISA &amp; MS-ISAC, #StopRansomware Guide.</w:t>
      </w:r>
    </w:p>
    <w:p w14:paraId="066B0BB2" w14:textId="77777777" w:rsidR="009B004D" w:rsidRDefault="009B004D" w:rsidP="009B004D">
      <w:r>
        <w:t>4. CISA, Known Exploited Vulnerabilities Catalog.</w:t>
      </w:r>
    </w:p>
    <w:p w14:paraId="53AC5A45" w14:textId="77777777" w:rsidR="009B004D" w:rsidRDefault="009B004D" w:rsidP="009B004D"/>
    <w:p w14:paraId="160FE229" w14:textId="1EA3549E" w:rsidR="009B004D" w:rsidRDefault="009B004D" w:rsidP="009B004D">
      <w:r>
        <w:t>Appendix: Repository</w:t>
      </w:r>
    </w:p>
    <w:p w14:paraId="652C9F16" w14:textId="7A63F13E" w:rsidR="00BC350C" w:rsidRDefault="009B004D" w:rsidP="009B004D">
      <w:r>
        <w:t>Code, outputs and instructions: see `README.md`.</w:t>
      </w:r>
    </w:p>
    <w:sectPr w:rsidR="00BC3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AEF"/>
    <w:rsid w:val="00145D84"/>
    <w:rsid w:val="003E36F5"/>
    <w:rsid w:val="006505E3"/>
    <w:rsid w:val="009B004D"/>
    <w:rsid w:val="00A07E31"/>
    <w:rsid w:val="00AD3DFE"/>
    <w:rsid w:val="00BC350C"/>
    <w:rsid w:val="00DF5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ADA1F"/>
  <w15:chartTrackingRefBased/>
  <w15:docId w15:val="{6FF97857-2481-45EF-83BC-9440DDE0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AEF"/>
    <w:rPr>
      <w:rFonts w:eastAsiaTheme="majorEastAsia" w:cstheme="majorBidi"/>
      <w:color w:val="272727" w:themeColor="text1" w:themeTint="D8"/>
    </w:rPr>
  </w:style>
  <w:style w:type="paragraph" w:styleId="Title">
    <w:name w:val="Title"/>
    <w:basedOn w:val="Normal"/>
    <w:next w:val="Normal"/>
    <w:link w:val="TitleChar"/>
    <w:uiPriority w:val="10"/>
    <w:qFormat/>
    <w:rsid w:val="00DF5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AEF"/>
    <w:pPr>
      <w:spacing w:before="160"/>
      <w:jc w:val="center"/>
    </w:pPr>
    <w:rPr>
      <w:i/>
      <w:iCs/>
      <w:color w:val="404040" w:themeColor="text1" w:themeTint="BF"/>
    </w:rPr>
  </w:style>
  <w:style w:type="character" w:customStyle="1" w:styleId="QuoteChar">
    <w:name w:val="Quote Char"/>
    <w:basedOn w:val="DefaultParagraphFont"/>
    <w:link w:val="Quote"/>
    <w:uiPriority w:val="29"/>
    <w:rsid w:val="00DF5AEF"/>
    <w:rPr>
      <w:i/>
      <w:iCs/>
      <w:color w:val="404040" w:themeColor="text1" w:themeTint="BF"/>
    </w:rPr>
  </w:style>
  <w:style w:type="paragraph" w:styleId="ListParagraph">
    <w:name w:val="List Paragraph"/>
    <w:basedOn w:val="Normal"/>
    <w:uiPriority w:val="34"/>
    <w:qFormat/>
    <w:rsid w:val="00DF5AEF"/>
    <w:pPr>
      <w:ind w:left="720"/>
      <w:contextualSpacing/>
    </w:pPr>
  </w:style>
  <w:style w:type="character" w:styleId="IntenseEmphasis">
    <w:name w:val="Intense Emphasis"/>
    <w:basedOn w:val="DefaultParagraphFont"/>
    <w:uiPriority w:val="21"/>
    <w:qFormat/>
    <w:rsid w:val="00DF5AEF"/>
    <w:rPr>
      <w:i/>
      <w:iCs/>
      <w:color w:val="2F5496" w:themeColor="accent1" w:themeShade="BF"/>
    </w:rPr>
  </w:style>
  <w:style w:type="paragraph" w:styleId="IntenseQuote">
    <w:name w:val="Intense Quote"/>
    <w:basedOn w:val="Normal"/>
    <w:next w:val="Normal"/>
    <w:link w:val="IntenseQuoteChar"/>
    <w:uiPriority w:val="30"/>
    <w:qFormat/>
    <w:rsid w:val="00DF5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AEF"/>
    <w:rPr>
      <w:i/>
      <w:iCs/>
      <w:color w:val="2F5496" w:themeColor="accent1" w:themeShade="BF"/>
    </w:rPr>
  </w:style>
  <w:style w:type="character" w:styleId="IntenseReference">
    <w:name w:val="Intense Reference"/>
    <w:basedOn w:val="DefaultParagraphFont"/>
    <w:uiPriority w:val="32"/>
    <w:qFormat/>
    <w:rsid w:val="00DF5A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920</Words>
  <Characters>5246</Characters>
  <Application>Microsoft Office Word</Application>
  <DocSecurity>0</DocSecurity>
  <Lines>43</Lines>
  <Paragraphs>12</Paragraphs>
  <ScaleCrop>false</ScaleCrop>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Shubhrang Sinha</dc:creator>
  <cp:keywords/>
  <dc:description/>
  <cp:lastModifiedBy>Shubhrang Sinha</cp:lastModifiedBy>
  <cp:revision>4</cp:revision>
  <dcterms:created xsi:type="dcterms:W3CDTF">2026-10-25T17:13:00Z</dcterms:created>
  <dcterms:modified xsi:type="dcterms:W3CDTF">2026-10-25T17:18:00Z</dcterms:modified>
</cp:coreProperties>
</file>