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jc w:val="center"/>
      </w:pPr>
      <w:r>
        <w:rPr>
          <w:b/>
          <w:bCs/>
          <w:color w:val="1F4E79"/>
          <w:sz w:val="44"/>
          <w:szCs w:val="44"/>
        </w:rPr>
        <w:t xml:space="preserve">Capstone Project 2</w:t>
      </w:r>
    </w:p>
    <w:p>
      <w:pPr>
        <w:spacing w:after="120"/>
        <w:jc w:val="center"/>
      </w:pPr>
      <w:r>
        <w:rPr>
          <w:b/>
          <w:bCs/>
          <w:color w:val="1F4E79"/>
          <w:sz w:val="56"/>
          <w:szCs w:val="56"/>
        </w:rPr>
        <w:t xml:space="preserve">Online Retail Insights</w:t>
      </w:r>
    </w:p>
    <w:p>
      <w:pPr>
        <w:spacing w:after="480"/>
        <w:jc w:val="center"/>
      </w:pPr>
      <w:r>
        <w:rPr>
          <w:i/>
          <w:iCs/>
          <w:color w:val="595959"/>
          <w:sz w:val="28"/>
          <w:szCs w:val="28"/>
        </w:rPr>
        <w:t xml:space="preserve">Revenue concentration, customer retention, and product performance at a UK online retailer</w:t>
      </w:r>
    </w:p>
    <w:p>
      <w:pPr>
        <w:spacing w:after="120" w:before="720"/>
        <w:jc w:val="center"/>
      </w:pPr>
      <w:r>
        <w:rPr>
          <w:b/>
          <w:bCs/>
          <w:sz w:val="28"/>
          <w:szCs w:val="28"/>
        </w:rPr>
        <w:t xml:space="preserve">Data Visualization &amp; Analytics</w:t>
      </w:r>
    </w:p>
    <w:p>
      <w:pPr>
        <w:spacing w:after="120"/>
        <w:jc w:val="center"/>
      </w:pPr>
      <w:r>
        <w:rPr>
          <w:sz w:val="24"/>
          <w:szCs w:val="24"/>
        </w:rPr>
        <w:t xml:space="preserve">ADYPU — Ajeenkya DY Patil University</w:t>
      </w:r>
    </w:p>
    <w:p>
      <w:pPr>
        <w:spacing w:after="480"/>
        <w:jc w:val="center"/>
      </w:pPr>
      <w:r>
        <w:rPr>
          <w:color w:val="B33A3A"/>
          <w:sz w:val="24"/>
          <w:szCs w:val="24"/>
        </w:rPr>
        <w:t xml:space="preserve">Section [X] — Team [Y]</w:t>
      </w:r>
    </w:p>
    <w:p>
      <w:pPr>
        <w:spacing w:after="60" w:before="720"/>
        <w:jc w:val="center"/>
      </w:pPr>
      <w:r>
        <w:rPr>
          <w:b/>
          <w:bCs/>
          <w:sz w:val="24"/>
          <w:szCs w:val="24"/>
        </w:rPr>
        <w:t xml:space="preserve">Team members</w:t>
      </w:r>
    </w:p>
    <w:p>
      <w:pPr>
        <w:jc w:val="center"/>
      </w:pPr>
      <w:r>
        <w:rPr>
          <w:color w:val="B33A3A"/>
          <w:sz w:val="22"/>
          <w:szCs w:val="22"/>
        </w:rPr>
        <w:t xml:space="preserve">[Member 1 — Roll No — Tech Lead / ETL Owner]</w:t>
      </w:r>
    </w:p>
    <w:p>
      <w:pPr>
        <w:jc w:val="center"/>
      </w:pPr>
      <w:r>
        <w:rPr>
          <w:color w:val="B33A3A"/>
          <w:sz w:val="22"/>
          <w:szCs w:val="22"/>
        </w:rPr>
        <w:t xml:space="preserve">[Member 2 — Roll No — Analytics Lead]</w:t>
      </w:r>
    </w:p>
    <w:p>
      <w:pPr>
        <w:jc w:val="center"/>
      </w:pPr>
      <w:r>
        <w:rPr>
          <w:color w:val="B33A3A"/>
          <w:sz w:val="22"/>
          <w:szCs w:val="22"/>
        </w:rPr>
        <w:t xml:space="preserve">[Member 3 — Roll No — KPI &amp; Final Load Owner]</w:t>
      </w:r>
    </w:p>
    <w:p>
      <w:pPr>
        <w:jc w:val="center"/>
      </w:pPr>
      <w:r>
        <w:rPr>
          <w:color w:val="B33A3A"/>
          <w:sz w:val="22"/>
          <w:szCs w:val="22"/>
        </w:rPr>
        <w:t xml:space="preserve">[Member 4 — Roll No — Viz &amp; Storytelling Lead]</w:t>
      </w:r>
    </w:p>
    <w:p>
      <w:pPr>
        <w:jc w:val="center"/>
      </w:pPr>
      <w:r>
        <w:rPr>
          <w:color w:val="B33A3A"/>
          <w:sz w:val="22"/>
          <w:szCs w:val="22"/>
        </w:rPr>
        <w:t xml:space="preserve">[Member 5 — Roll No — Business &amp; Report Lead]</w:t>
      </w:r>
    </w:p>
    <w:p>
      <w:pPr>
        <w:spacing w:before="1200"/>
        <w:jc w:val="center"/>
      </w:pPr>
      <w:r>
        <w:rPr>
          <w:i/>
          <w:iCs/>
          <w:color w:val="595959"/>
          <w:sz w:val="22"/>
          <w:szCs w:val="22"/>
        </w:rPr>
        <w:t xml:space="preserve">Submitted: [DD Month 2026]</w:t>
      </w:r>
    </w:p>
    <w:p>
      <w:r>
        <w:br w:type="page"/>
      </w:r>
    </w:p>
    <w:p>
      <w:pPr>
        <w:pStyle w:val="Heading1"/>
        <w:spacing w:after="180" w:before="360"/>
      </w:pPr>
      <w:r>
        <w:rPr>
          <w:b/>
          <w:bCs/>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rPr>
        <w:t xml:space="preserve">Executive Summary</w:t>
      </w:r>
    </w:p>
    <w:p>
      <w:pPr>
        <w:spacing w:after="120"/>
        <w:jc w:val="both"/>
      </w:pPr>
      <w:r>
        <w:t xml:space="preserve">This report presents an end-to-end analytics investigation of a UK online retailer's transactional history, covering approximately 1.07 million line-item records between December 2009 and December 2011. Using the UCI Online Retail II dataset, we execute a complete Python-based ETL pipeline, perform exploratory and inferential statistical analysis, build an interactive Tableau Public dashboard, and translate findings into prioritised business recommendations.</w:t>
      </w:r>
    </w:p>
    <w:p>
      <w:pPr>
        <w:spacing w:after="120"/>
        <w:jc w:val="both"/>
      </w:pPr>
      <w:r>
        <w:t xml:space="preserve">The business questions driving the analysis are three-fold: (1) identify the customer segments and product categories that generate the top 20% of net revenue, (2) quantify the magnitude and drivers of churn in the repeat-purchase base, and (3) prescribe a data-backed reallocation of retention and promotional spend that protects the revenue-concentration base while recovering at-risk customers.</w:t>
      </w:r>
    </w:p>
    <w:p>
      <w:pPr>
        <w:pStyle w:val="Heading3"/>
        <w:spacing w:after="100" w:before="200"/>
      </w:pPr>
      <w:r>
        <w:rPr>
          <w:b/>
          <w:bCs/>
          <w:i/>
          <w:iCs/>
        </w:rPr>
        <w:t xml:space="preserve">Headline findings</w:t>
      </w:r>
    </w:p>
    <w:p>
      <w:pPr>
        <w:spacing w:after="120"/>
      </w:pPr>
      <w:r>
        <w:rPr>
          <w:b/>
          <w:bCs/>
          <w:color w:val="B33A3A"/>
        </w:rPr>
        <w:t xml:space="preserve">[Populate after running notebook 04]</w:t>
      </w:r>
    </w:p>
    <w:p>
      <w:pPr>
        <w:pStyle w:val="ListParagraph"/>
        <w:numPr>
          <w:ilvl w:val="0"/>
          <w:numId w:val="2"/>
        </w:numPr>
      </w:pPr>
      <w:r>
        <w:t xml:space="preserve">Top-20% customer revenue concentration: [X]% of revenue from the top 20% of registered customers</w:t>
      </w:r>
    </w:p>
    <w:p>
      <w:pPr>
        <w:pStyle w:val="ListParagraph"/>
        <w:numPr>
          <w:ilvl w:val="0"/>
          <w:numId w:val="2"/>
        </w:numPr>
      </w:pPr>
      <w:r>
        <w:t xml:space="preserve">Registered vs guest AOV: registered customers spend [X]% more per order (Welch's t-test, p = [X])</w:t>
      </w:r>
    </w:p>
    <w:p>
      <w:pPr>
        <w:pStyle w:val="ListParagraph"/>
        <w:numPr>
          <w:ilvl w:val="0"/>
          <w:numId w:val="2"/>
        </w:numPr>
      </w:pPr>
      <w:r>
        <w:t xml:space="preserve">Return-rate variation across category hints is statistically significant (χ² = [X], p = [X], Cramér's V = [X])</w:t>
      </w:r>
    </w:p>
    <w:p>
      <w:pPr>
        <w:pStyle w:val="ListParagraph"/>
        <w:numPr>
          <w:ilvl w:val="0"/>
          <w:numId w:val="2"/>
        </w:numPr>
      </w:pPr>
      <w:r>
        <w:t xml:space="preserve">Repeat-purchase rate by cohort shows [X]% retention at month 6, [X]% at month 12</w:t>
      </w:r>
    </w:p>
    <w:p>
      <w:pPr>
        <w:pStyle w:val="Heading3"/>
        <w:spacing w:after="100" w:before="200"/>
      </w:pPr>
      <w:r>
        <w:rPr>
          <w:b/>
          <w:bCs/>
          <w:i/>
          <w:iCs/>
        </w:rPr>
        <w:t xml:space="preserve">Recommendations (preview — full detail in §9)</w:t>
      </w:r>
    </w:p>
    <w:p>
      <w:pPr>
        <w:spacing w:after="120"/>
      </w:pPr>
      <w:r>
        <w:rPr>
          <w:b/>
          <w:bCs/>
          <w:color w:val="B33A3A"/>
        </w:rPr>
        <w:t xml:space="preserve">[Populate after running analysis]</w:t>
      </w:r>
    </w:p>
    <w:p>
      <w:pPr>
        <w:pStyle w:val="ListParagraph"/>
        <w:numPr>
          <w:ilvl w:val="0"/>
          <w:numId w:val="2"/>
        </w:numPr>
      </w:pPr>
      <w:r>
        <w:t xml:space="preserve">[Recommendation 1 — retention investment for At-Risk segment with estimated revenue preservation]</w:t>
      </w:r>
    </w:p>
    <w:p>
      <w:pPr>
        <w:pStyle w:val="ListParagraph"/>
        <w:numPr>
          <w:ilvl w:val="0"/>
          <w:numId w:val="2"/>
        </w:numPr>
      </w:pPr>
      <w:r>
        <w:t xml:space="preserve">[Recommendation 2 — first-order upsell based on LTV correlation]</w:t>
      </w:r>
    </w:p>
    <w:p>
      <w:pPr>
        <w:pStyle w:val="ListParagraph"/>
        <w:numPr>
          <w:ilvl w:val="0"/>
          <w:numId w:val="2"/>
        </w:numPr>
      </w:pPr>
      <w:r>
        <w:t xml:space="preserve">[Recommendation 3 — supplier remediation for high-return categories]</w:t>
      </w:r>
    </w:p>
    <w:p>
      <w:r>
        <w:br w:type="page"/>
      </w:r>
    </w:p>
    <w:p>
      <w:pPr>
        <w:pStyle w:val="Heading1"/>
        <w:spacing w:after="180" w:before="360"/>
      </w:pPr>
      <w:r>
        <w:rPr>
          <w:b/>
          <w:bCs/>
        </w:rPr>
        <w:t xml:space="preserve">1. Sector Context &amp; Problem Statement</w:t>
      </w:r>
    </w:p>
    <w:p>
      <w:pPr>
        <w:pStyle w:val="Heading2"/>
        <w:spacing w:after="140" w:before="280"/>
      </w:pPr>
      <w:r>
        <w:rPr>
          <w:b/>
          <w:bCs/>
        </w:rPr>
        <w:t xml:space="preserve">1.1 Sector — Retail / E-commerce</w:t>
      </w:r>
    </w:p>
    <w:p>
      <w:pPr>
        <w:spacing w:after="120"/>
        <w:jc w:val="both"/>
      </w:pPr>
      <w:r>
        <w:t xml:space="preserve">The retail e-commerce category has undergone sustained structural change over the past decade. Online-first retailers selling small-basket consumer goods — giftware, homeware, seasonal items — face a triad of pressures that together shape the commercial question this project investigates.</w:t>
      </w:r>
    </w:p>
    <w:p>
      <w:pPr>
        <w:spacing w:after="120"/>
        <w:jc w:val="both"/>
      </w:pPr>
      <w:r>
        <w:t xml:space="preserve">First, customer acquisition costs on paid digital channels have climbed year-on-year, compressing the margin available to win a first-time customer. Second, the same customer cohorts exhibit skewed lifetime value: a small minority of repeat buyers typically contribute the majority of revenue, while most first-time buyers never return. Third, seasonal demand in giftware and homeware concentrates operational and inventory risk into Q4, making precise forecasting of customer demand a commercial necessity rather than an analytics nicety.</w:t>
      </w:r>
    </w:p>
    <w:p>
      <w:pPr>
        <w:spacing w:after="120"/>
        <w:jc w:val="both"/>
      </w:pPr>
      <w:r>
        <w:t xml:space="preserve">These pressures make it disproportionately important for a mid-market retailer to know — at a row-level of detail — which customer segments to protect, which products to promote, and where operational problems such as elevated return rates are quietly eroding margin.</w:t>
      </w:r>
    </w:p>
    <w:p>
      <w:pPr>
        <w:pStyle w:val="Heading2"/>
        <w:spacing w:after="140" w:before="280"/>
      </w:pPr>
      <w:r>
        <w:rPr>
          <w:b/>
          <w:bCs/>
        </w:rPr>
        <w:t xml:space="preserve">1.2 Problem Statement</w:t>
      </w:r>
    </w:p>
    <w:p>
      <w:pPr>
        <w:spacing w:after="120"/>
        <w:jc w:val="both"/>
      </w:pPr>
      <w:r>
        <w:t xml:space="preserve">For a mid-market UK online retailer operating across approximately 40 countries between December 2009 and December 2011, this project identifies (a) the customer segments and product categories that drive the top 20% of net revenue, (b) the magnitude and drivers of churn in the repeat-purchase base, and (c) a prioritised reallocation of retention and promotional budget that protects the revenue-concentration base while recovering at-risk customers.</w:t>
      </w:r>
    </w:p>
    <w:p>
      <w:pPr>
        <w:pStyle w:val="Heading3"/>
        <w:spacing w:after="100" w:before="200"/>
      </w:pPr>
      <w:r>
        <w:rPr>
          <w:b/>
          <w:bCs/>
          <w:i/>
          <w:iCs/>
        </w:rPr>
        <w:t xml:space="preserve">Sub-questions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w:t>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Business question</w:t>
            </w:r>
          </w:p>
        </w:tc>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Method</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 share of total net revenue comes from the top 20% of customers?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Pareto analysis / cumulative-share plot</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 registered and guest checkouts differ meaningfully in average order value?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Welch's t-test with Cohen's d</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Is return rate independent of product category?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Chi-square test of independence + Cramér's V</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Is there a month-of-year effect on revenue after controlling for customer count?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OLS regression with month dummies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Which RFM segments show steepest churn (Recency decay)?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Cohort retention + RFM segmentation</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Does first-order basket size predict 12-month customer value?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Pearson correlation + simple linear regression</w:t>
            </w:r>
          </w:p>
        </w:tc>
      </w:tr>
    </w:tbl>
    <w:p>
      <w:r>
        <w:br w:type="page"/>
      </w:r>
    </w:p>
    <w:p>
      <w:pPr>
        <w:pStyle w:val="Heading1"/>
        <w:spacing w:after="180" w:before="360"/>
      </w:pPr>
      <w:r>
        <w:rPr>
          <w:b/>
          <w:bCs/>
        </w:rPr>
        <w:t xml:space="preserve">2. Data Description</w:t>
      </w:r>
    </w:p>
    <w:p>
      <w:pPr>
        <w:pStyle w:val="Heading2"/>
        <w:spacing w:after="140" w:before="280"/>
      </w:pPr>
      <w:r>
        <w:rPr>
          <w:b/>
          <w:bCs/>
        </w:rPr>
        <w:t xml:space="preserve">2.1 Source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Attribute</w:t>
            </w:r>
          </w:p>
        </w:tc>
        <w:tc>
          <w:tcPr>
            <w:tcW w:type="dxa" w:w="6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Value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Name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Online Retail II</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Source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UCI Machine Learning Repository (ID 502) — approved source per project guidelines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URL</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https://archive.ics.uci.edu/dataset/502/online+retail+ii</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Row count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~1,067,000 line-item rows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Column count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 raw analytical columns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Time range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01-Dec-2009 to 09-Dec-2011 (24 months)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Format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Two Excel sheets, concatenated on load</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Grain</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One row per product line on an invoice</w:t>
            </w:r>
          </w:p>
        </w:tc>
      </w:tr>
    </w:tbl>
    <w:p>
      <w:pPr>
        <w:spacing w:after="120"/>
        <w:jc w:val="both"/>
      </w:pPr>
      <w:r>
        <w:t xml:space="preserve"/>
      </w:r>
    </w:p>
    <w:p>
      <w:pPr>
        <w:spacing w:after="140"/>
        <w:ind w:left="360"/>
      </w:pPr>
      <w:r>
        <w:rPr>
          <w:i/>
          <w:iCs/>
          <w:color w:val="595959"/>
        </w:rPr>
        <w:t xml:space="preserve">All three dataset-selection rules in the project guidelines are met: the row count exceeds the 5,000 minimum by ~200×; eight meaningful analytical columns are present; the data is raw and contains realistic quality issues that require substantive cleaning, as catalogued in §3.</w:t>
      </w:r>
    </w:p>
    <w:p>
      <w:pPr>
        <w:pStyle w:val="Heading2"/>
        <w:spacing w:after="140" w:before="280"/>
      </w:pPr>
      <w:r>
        <w:rPr>
          <w:b/>
          <w:bCs/>
        </w:rPr>
        <w:t xml:space="preserve">2.2 Column-level description</w:t>
      </w:r>
    </w:p>
    <w:p>
      <w:pPr>
        <w:spacing w:after="120"/>
        <w:jc w:val="both"/>
      </w:pPr>
      <w:r>
        <w:t xml:space="preserve">Every raw column and its known quality issues are documented in detail in docs/data_dictionary.md. The summary below captures the essential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Column</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Type</w:t>
            </w:r>
          </w:p>
        </w:tc>
        <w:tc>
          <w:tcPr>
            <w:tcW w:type="dxa" w:w="5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Meaning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Invoice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string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Invoice number; 'C' prefix indicates cancellations/returns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StockCode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string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5-digit product code; some non-numeric service codes (POST, M, D, etc.)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Description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string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Free-text product name; missing for ~4,000 rows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Quantity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integer</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Units on this line; negatives indicate returns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InvoiceDate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datetime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Timestamp of invoice, minute precision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Price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float (GBP)</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Unit price; zero and negative values flag adjustments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Customer ID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float (nullable)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~25% missing — these are guest/non-registered checkouts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string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Country of customer; ~90% United Kingdom; some inconsistencies</w:t>
            </w:r>
          </w:p>
        </w:tc>
      </w:tr>
    </w:tbl>
    <w:p>
      <w:pPr>
        <w:pStyle w:val="Heading2"/>
        <w:spacing w:after="140" w:before="280"/>
      </w:pPr>
      <w:r>
        <w:rPr>
          <w:b/>
          <w:bCs/>
        </w:rPr>
        <w:t xml:space="preserve">2.3 Limitations of the raw data</w:t>
      </w:r>
    </w:p>
    <w:p>
      <w:pPr>
        <w:pStyle w:val="ListParagraph"/>
        <w:numPr>
          <w:ilvl w:val="0"/>
          <w:numId w:val="2"/>
        </w:numPr>
      </w:pPr>
      <w:r>
        <w:t xml:space="preserve">Guest checkouts (~25% of rows) cannot be attributed to a customer — customer-level analysis covers ~75% of revenue only</w:t>
      </w:r>
    </w:p>
    <w:p>
      <w:pPr>
        <w:pStyle w:val="ListParagraph"/>
        <w:numPr>
          <w:ilvl w:val="0"/>
          <w:numId w:val="2"/>
        </w:numPr>
      </w:pPr>
      <w:r>
        <w:t xml:space="preserve">Non-product stock codes (POST, M, D, BANK CHARGES, AMAZONFEE, DOT, CRUK) are adjustments/services — excluded from product analysis, retained for gross revenue with a flag</w:t>
      </w:r>
    </w:p>
    <w:p>
      <w:pPr>
        <w:pStyle w:val="ListParagraph"/>
        <w:numPr>
          <w:ilvl w:val="0"/>
          <w:numId w:val="2"/>
        </w:numPr>
      </w:pPr>
      <w:r>
        <w:t xml:space="preserve">Returns create negative rows — handled via an is_return flag and netted rather than deleted</w:t>
      </w:r>
    </w:p>
    <w:p>
      <w:pPr>
        <w:pStyle w:val="ListParagraph"/>
        <w:numPr>
          <w:ilvl w:val="0"/>
          <w:numId w:val="2"/>
        </w:numPr>
      </w:pPr>
      <w:r>
        <w:t xml:space="preserve">Heavy UK skew (~90% of rows) — international analysis is directional only, not statistically powerful for small-country segments</w:t>
      </w:r>
    </w:p>
    <w:p>
      <w:r>
        <w:br w:type="page"/>
      </w:r>
    </w:p>
    <w:p>
      <w:pPr>
        <w:pStyle w:val="Heading1"/>
        <w:spacing w:after="180" w:before="360"/>
      </w:pPr>
      <w:r>
        <w:rPr>
          <w:b/>
          <w:bCs/>
        </w:rPr>
        <w:t xml:space="preserve">3. Data Cleaning &amp; ETL Methodology</w:t>
      </w:r>
    </w:p>
    <w:p>
      <w:pPr>
        <w:pStyle w:val="Heading2"/>
        <w:spacing w:after="140" w:before="280"/>
      </w:pPr>
      <w:r>
        <w:rPr>
          <w:b/>
          <w:bCs/>
        </w:rPr>
        <w:t xml:space="preserve">3.1 Pipeline architecture</w:t>
      </w:r>
    </w:p>
    <w:p>
      <w:pPr>
        <w:spacing w:after="120"/>
        <w:jc w:val="both"/>
      </w:pPr>
      <w:r>
        <w:t xml:space="preserve">The ETL pipeline is implemented twice for reproducibility: as a Jupyter notebook (notebooks/02_cleaning.ipynb) that documents every transformation step with narrative markdown, and as a parameterized command-line script (scripts/etl_pipeline.py) that can rerun the pipeline end-to-end. Both produce the same output file at data/processed/online_retail_II_clean.csv. This two-surface approach satisfies the rubric requirement for a "documented, reproducible Python ETL pipeline".</w:t>
      </w:r>
    </w:p>
    <w:p>
      <w:pPr>
        <w:pStyle w:val="Heading2"/>
        <w:spacing w:after="140" w:before="280"/>
      </w:pPr>
      <w:r>
        <w:rPr>
          <w:b/>
          <w:bCs/>
        </w:rPr>
        <w:t xml:space="preserve">3.2 Twelve transformation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800"/>
        <w:gridCol w:w="4840"/>
      </w:tblGrid>
      <w:tr>
        <w:tc>
          <w:tcPr>
            <w:tcW w:type="dxa" w:w="7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w:t>
            </w:r>
          </w:p>
        </w:tc>
        <w:tc>
          <w:tcPr>
            <w:tcW w:type="dxa" w:w="3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Step</w:t>
            </w:r>
          </w:p>
        </w:tc>
        <w:tc>
          <w:tcPr>
            <w:tcW w:type="dxa" w:w="48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Justification</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Snake_case column names</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Eliminates ambiguity between 'Customer ID' and 'CustomerID'; consistent with Python convention</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Type parsing (date, numeric, Int64)</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Enables time-series operations and nullable-integer support for Customer ID</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Drop rows missing InvoiceDate or StockCode</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These rows cannot be used for any downstream analysis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Flag returns via 'C' prefix OR negative quantity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Returns are legitimate business events and must be netted rather than deleted</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Flag registered customers</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Guest checkouts are real revenue but cannot enter RFM/cohort analysis — flag not drop</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Flag non-product stock codes</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POST/M/D/etc. are services/adjustments — exclude from product analysis, keep for gross revenue</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Compute line_revenue = Quantity × Price</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Primary P&amp;L signal; negative values represent legitimate returns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Clean Description field</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Strip whitespace, convert 'nan'/'None'/'' to actual NaN for downstream logic</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Standardize country names</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EIRE→Ireland, USA→United States; folds Channel Islands into UK for analysis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Derive time features (year-month, hour, day-of-week)</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Required for seasonality analysis without repeated datetime arithmetic</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Coarse category hint via keyword matching</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Best-effort category — disclosed as a limitation; enables category-level analysis where no authoritative taxonomy exists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Drop exact duplicate rows</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Residual duplicates after upstream joins — preserves transaction integrity</w:t>
            </w:r>
          </w:p>
        </w:tc>
      </w:tr>
    </w:tbl>
    <w:p>
      <w:pPr>
        <w:spacing w:after="120"/>
        <w:jc w:val="both"/>
      </w:pPr>
      <w:r>
        <w:t xml:space="preserve"/>
      </w:r>
    </w:p>
    <w:p>
      <w:pPr>
        <w:pStyle w:val="Heading2"/>
        <w:spacing w:after="140" w:before="280"/>
      </w:pPr>
      <w:r>
        <w:rPr>
          <w:b/>
          <w:bCs/>
        </w:rPr>
        <w:t xml:space="preserve">3.3 What we chose NOT to do, and why</w:t>
      </w:r>
    </w:p>
    <w:p>
      <w:pPr>
        <w:pStyle w:val="ListParagraph"/>
        <w:numPr>
          <w:ilvl w:val="0"/>
          <w:numId w:val="2"/>
        </w:numPr>
      </w:pPr>
      <w:r>
        <w:t xml:space="preserve">We do not drop rows with missing Customer ID. These are legitimate guest-checkout revenue and represent ~25% of the dataset. Dropping them would understate total revenue and distort country-level analysis.</w:t>
      </w:r>
    </w:p>
    <w:p>
      <w:pPr>
        <w:pStyle w:val="ListParagraph"/>
        <w:numPr>
          <w:ilvl w:val="0"/>
          <w:numId w:val="2"/>
        </w:numPr>
      </w:pPr>
      <w:r>
        <w:t xml:space="preserve">We do not delete returns (negative quantities). Returns are netted against gross revenue — deleting them would overstate performance.</w:t>
      </w:r>
    </w:p>
    <w:p>
      <w:pPr>
        <w:pStyle w:val="ListParagraph"/>
        <w:numPr>
          <w:ilvl w:val="0"/>
          <w:numId w:val="2"/>
        </w:numPr>
      </w:pPr>
      <w:r>
        <w:t xml:space="preserve">We do not impute missing Description via the StockCode→Description mapping. Some descriptions genuinely differ across the same StockCode (e.g., capitalization, typos); we preserve raw and flag as an open question.</w:t>
      </w:r>
    </w:p>
    <w:p>
      <w:pPr>
        <w:pStyle w:val="ListParagraph"/>
        <w:numPr>
          <w:ilvl w:val="0"/>
          <w:numId w:val="2"/>
        </w:numPr>
      </w:pPr>
      <w:r>
        <w:t xml:space="preserve">We do not apply winsorization to Price or Quantity outliers. Extreme values are legitimate (bulk B2B orders, premium products) — flagged in EDA but not removed.</w:t>
      </w:r>
    </w:p>
    <w:p>
      <w:pPr>
        <w:pStyle w:val="Heading2"/>
        <w:spacing w:after="140" w:before="280"/>
      </w:pPr>
      <w:r>
        <w:rPr>
          <w:b/>
          <w:bCs/>
        </w:rPr>
        <w:t xml:space="preserve">3.4 Post-cleaning summary</w:t>
      </w:r>
    </w:p>
    <w:p>
      <w:pPr>
        <w:spacing w:after="120"/>
      </w:pPr>
      <w:r>
        <w:rPr>
          <w:b/>
          <w:bCs/>
          <w:color w:val="B33A3A"/>
        </w:rPr>
        <w:t xml:space="preserve">[Populate from notebook 02 actual run]</w:t>
      </w:r>
    </w:p>
    <w:p>
      <w:pPr>
        <w:pStyle w:val="ListParagraph"/>
        <w:numPr>
          <w:ilvl w:val="0"/>
          <w:numId w:val="2"/>
        </w:numPr>
      </w:pPr>
      <w:r>
        <w:t xml:space="preserve">Starting rows: [N_START]</w:t>
      </w:r>
    </w:p>
    <w:p>
      <w:pPr>
        <w:pStyle w:val="ListParagraph"/>
        <w:numPr>
          <w:ilvl w:val="0"/>
          <w:numId w:val="2"/>
        </w:numPr>
      </w:pPr>
      <w:r>
        <w:t xml:space="preserve">Dropped rows (missing critical fields): [N_CRIT_DROP]</w:t>
      </w:r>
    </w:p>
    <w:p>
      <w:pPr>
        <w:pStyle w:val="ListParagraph"/>
        <w:numPr>
          <w:ilvl w:val="0"/>
          <w:numId w:val="2"/>
        </w:numPr>
      </w:pPr>
      <w:r>
        <w:t xml:space="preserve">Dropped rows (exact duplicates): [N_DUP_DROP]</w:t>
      </w:r>
    </w:p>
    <w:p>
      <w:pPr>
        <w:pStyle w:val="ListParagraph"/>
        <w:numPr>
          <w:ilvl w:val="0"/>
          <w:numId w:val="2"/>
        </w:numPr>
      </w:pPr>
      <w:r>
        <w:t xml:space="preserve">Final cleaned rows: [N_FINAL] ([PCT]% retained)</w:t>
      </w:r>
    </w:p>
    <w:p>
      <w:pPr>
        <w:pStyle w:val="ListParagraph"/>
        <w:numPr>
          <w:ilvl w:val="0"/>
          <w:numId w:val="2"/>
        </w:numPr>
      </w:pPr>
      <w:r>
        <w:t xml:space="preserve">Registered-customer rows: [N_REG] ([PCT_REG]%)</w:t>
      </w:r>
    </w:p>
    <w:p>
      <w:pPr>
        <w:pStyle w:val="ListParagraph"/>
        <w:numPr>
          <w:ilvl w:val="0"/>
          <w:numId w:val="2"/>
        </w:numPr>
      </w:pPr>
      <w:r>
        <w:t xml:space="preserve">Return rows flagged: [N_RET] ([PCT_RET]%)</w:t>
      </w:r>
    </w:p>
    <w:p>
      <w:r>
        <w:br w:type="page"/>
      </w:r>
    </w:p>
    <w:p>
      <w:pPr>
        <w:pStyle w:val="Heading1"/>
        <w:spacing w:after="180" w:before="360"/>
      </w:pPr>
      <w:r>
        <w:rPr>
          <w:b/>
          <w:bCs/>
        </w:rPr>
        <w:t xml:space="preserve">4. KPI &amp; Metric Framework</w:t>
      </w:r>
    </w:p>
    <w:p>
      <w:pPr>
        <w:spacing w:after="120"/>
        <w:jc w:val="both"/>
      </w:pPr>
      <w:r>
        <w:t xml:space="preserve">Six KPIs form the analytical spine of the project. Each is defined once in code (notebooks/05_final_load_prep.ipynb), computed into the Tableau-ready flat file, and used consistently across EDA, statistical tests, and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600"/>
        <w:gridCol w:w="2400"/>
      </w:tblGrid>
      <w:t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KPI</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Definition / Formula</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Grain</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Why it matters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Net Revenue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Σ(LineRevenue where not IsReturn) − Σ(|LineRevenue| where IsReturn)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month / country / segment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Revenue after returns — the KPI that actually matters to the P&amp;L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Return Rate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rows(IsReturn) / rows(all)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product / category / month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Quality signal; high return rate flags supply or listing problems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Repeat Purchase Rate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customers with ≥2 invoices / total registered customers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Health of the retention engine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Average Order Value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Net Revenue per invoice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month / segment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Pricing and basket composition health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RFM Score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Quintile scores on Recency, Frequency, Monetary, concatenated into segment labels (Champions, Loyal, New, At Risk, Lost, Others)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Segmentation for retention prioritisation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Top-20% Revenue Concentration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rev from top 20% customers / total rev</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Pareto — measures dependence risk on a small customer base</w:t>
            </w:r>
          </w:p>
        </w:tc>
      </w:tr>
    </w:tbl>
    <w:p>
      <w:r>
        <w:br w:type="page"/>
      </w:r>
    </w:p>
    <w:p>
      <w:pPr>
        <w:pStyle w:val="Heading1"/>
        <w:spacing w:after="180" w:before="360"/>
      </w:pPr>
      <w:r>
        <w:rPr>
          <w:b/>
          <w:bCs/>
        </w:rPr>
        <w:t xml:space="preserve">5. Exploratory Data Analysis</w:t>
      </w:r>
    </w:p>
    <w:p>
      <w:pPr>
        <w:spacing w:after="120"/>
        <w:jc w:val="both"/>
      </w:pPr>
      <w:r>
        <w:t xml:space="preserve">The EDA explores six dimensions of the dataset. Each dimension is mapped to one of the business sub-questions stated in §1.2. All charts are produced in notebooks/03_eda.ipynb; representative screenshots are embedded below.</w:t>
      </w:r>
    </w:p>
    <w:p>
      <w:pPr>
        <w:pStyle w:val="Heading2"/>
        <w:spacing w:after="140" w:before="280"/>
      </w:pPr>
      <w:r>
        <w:rPr>
          <w:b/>
          <w:bCs/>
        </w:rPr>
        <w:t xml:space="preserve">5.1 Revenue shape over time</w:t>
      </w:r>
    </w:p>
    <w:p>
      <w:pPr>
        <w:spacing w:after="120"/>
      </w:pPr>
      <w:r>
        <w:rPr>
          <w:b/>
          <w:bCs/>
          <w:color w:val="B33A3A"/>
        </w:rPr>
        <w:t xml:space="preserve">[Insert monthly revenue line chart (notebook 03 cell 2)]</w:t>
      </w:r>
    </w:p>
    <w:p>
      <w:pPr>
        <w:spacing w:after="120"/>
        <w:jc w:val="both"/>
      </w:pPr>
      <w:r>
        <w:t xml:space="preserve">Observed pattern: [describe the monthly trend — where peaks fall, whether there is year-over-year growth between 2010 and 2011].</w:t>
      </w:r>
    </w:p>
    <w:p>
      <w:pPr>
        <w:spacing w:after="120"/>
      </w:pPr>
      <w:r>
        <w:rPr>
          <w:b/>
          <w:bCs/>
          <w:color w:val="B33A3A"/>
        </w:rPr>
        <w:t xml:space="preserve">[Insight paragraph: what does the shape imply for inventory planning and marketing calendar? (write after running)]</w:t>
      </w:r>
    </w:p>
    <w:p>
      <w:pPr>
        <w:pStyle w:val="Heading2"/>
        <w:spacing w:after="140" w:before="280"/>
      </w:pPr>
      <w:r>
        <w:rPr>
          <w:b/>
          <w:bCs/>
        </w:rPr>
        <w:t xml:space="preserve">5.2 Revenue concentration (Pareto)</w:t>
      </w:r>
    </w:p>
    <w:p>
      <w:pPr>
        <w:spacing w:after="120"/>
      </w:pPr>
      <w:r>
        <w:rPr>
          <w:b/>
          <w:bCs/>
          <w:color w:val="B33A3A"/>
        </w:rPr>
        <w:t xml:space="preserve">[Insert Pareto chart]</w:t>
      </w:r>
    </w:p>
    <w:p>
      <w:pPr>
        <w:spacing w:after="120"/>
        <w:jc w:val="both"/>
      </w:pPr>
      <w:r>
        <w:t xml:space="preserve">Of [N] registered customers, the top 20% generated [X]% of net revenue. This is [more/less] skewed than the classic 80/20 benchmark and has direct implications for retention prioritisation — losing a top-20% customer is equivalent to losing roughly [K] median customers.</w:t>
      </w:r>
    </w:p>
    <w:p>
      <w:pPr>
        <w:pStyle w:val="Heading2"/>
        <w:spacing w:after="140" w:before="280"/>
      </w:pPr>
      <w:r>
        <w:rPr>
          <w:b/>
          <w:bCs/>
        </w:rPr>
        <w:t xml:space="preserve">5.3 Registered vs guest order values</w:t>
      </w:r>
    </w:p>
    <w:p>
      <w:pPr>
        <w:spacing w:after="120"/>
      </w:pPr>
      <w:r>
        <w:rPr>
          <w:b/>
          <w:bCs/>
          <w:color w:val="B33A3A"/>
        </w:rPr>
        <w:t xml:space="preserve">[Insert boxplot: AOV registered vs guest]</w:t>
      </w:r>
    </w:p>
    <w:p>
      <w:pPr>
        <w:spacing w:after="120"/>
        <w:jc w:val="both"/>
      </w:pPr>
      <w:r>
        <w:t xml:space="preserve">Registered-customer invoices carry a [X]% higher average value than guest invoices ([formal test in §6]). This suggests the returns to CRM investment are materially positive even before accounting for repeat-purchase lifetime value.</w:t>
      </w:r>
    </w:p>
    <w:p>
      <w:pPr>
        <w:pStyle w:val="Heading2"/>
        <w:spacing w:after="140" w:before="280"/>
      </w:pPr>
      <w:r>
        <w:rPr>
          <w:b/>
          <w:bCs/>
        </w:rPr>
        <w:t xml:space="preserve">5.4 Product categories — revenue vs return rate</w:t>
      </w:r>
    </w:p>
    <w:p>
      <w:pPr>
        <w:spacing w:after="120"/>
      </w:pPr>
      <w:r>
        <w:rPr>
          <w:b/>
          <w:bCs/>
          <w:color w:val="B33A3A"/>
        </w:rPr>
        <w:t xml:space="preserve">[Insert category scatter (revenue × return rate)]</w:t>
      </w:r>
    </w:p>
    <w:p>
      <w:pPr>
        <w:spacing w:after="120"/>
        <w:jc w:val="both"/>
      </w:pPr>
      <w:r>
        <w:t xml:space="preserve">Plotting category hint revenue against return rate exposes quadrants of strategic interest: high-revenue / low-return categories (protect), high-revenue / high-return categories (urgent remediation), and low-revenue / high-return categories (candidate for delisting).</w:t>
      </w:r>
    </w:p>
    <w:p>
      <w:pPr>
        <w:pStyle w:val="Heading2"/>
        <w:spacing w:after="140" w:before="280"/>
      </w:pPr>
      <w:r>
        <w:rPr>
          <w:b/>
          <w:bCs/>
        </w:rPr>
        <w:t xml:space="preserve">5.5 Seasonality — hour-of-day and day-of-week</w:t>
      </w:r>
    </w:p>
    <w:p>
      <w:pPr>
        <w:spacing w:after="120"/>
      </w:pPr>
      <w:r>
        <w:rPr>
          <w:b/>
          <w:bCs/>
          <w:color w:val="B33A3A"/>
        </w:rPr>
        <w:t xml:space="preserve">[Insert two small bar charts: hour and day]</w:t>
      </w:r>
    </w:p>
    <w:p>
      <w:pPr>
        <w:spacing w:after="120"/>
        <w:jc w:val="both"/>
      </w:pPr>
      <w:r>
        <w:t xml:space="preserve">Order volume concentrates between [X]–[Y] hours on weekdays, with a secondary peak on [day]. Weekends underperform weekday averages by [Z]%, indicating the retailer's customer base is a weekday-daytime audience — useful for scheduling email sends and paid media.</w:t>
      </w:r>
    </w:p>
    <w:p>
      <w:pPr>
        <w:pStyle w:val="Heading2"/>
        <w:spacing w:after="140" w:before="280"/>
      </w:pPr>
      <w:r>
        <w:rPr>
          <w:b/>
          <w:bCs/>
        </w:rPr>
        <w:t xml:space="preserve">5.6 Cohort retention</w:t>
      </w:r>
    </w:p>
    <w:p>
      <w:pPr>
        <w:spacing w:after="120"/>
      </w:pPr>
      <w:r>
        <w:rPr>
          <w:b/>
          <w:bCs/>
          <w:color w:val="B33A3A"/>
        </w:rPr>
        <w:t xml:space="preserve">[Insert cohort retention heatmap]</w:t>
      </w:r>
    </w:p>
    <w:p>
      <w:pPr>
        <w:spacing w:after="120"/>
        <w:jc w:val="both"/>
      </w:pPr>
      <w:r>
        <w:t xml:space="preserve">The cohort retention heatmap shows the percentage of each month's new customers who remain active k months later. Two observations: (a) month-1 retention averages [X]%, (b) retention stabilises by month [Y] at approximately [Z]% — the long-run loyal-customer base.</w:t>
      </w:r>
    </w:p>
    <w:p>
      <w:r>
        <w:br w:type="page"/>
      </w:r>
    </w:p>
    <w:p>
      <w:pPr>
        <w:pStyle w:val="Heading1"/>
        <w:spacing w:after="180" w:before="360"/>
      </w:pPr>
      <w:r>
        <w:rPr>
          <w:b/>
          <w:bCs/>
        </w:rPr>
        <w:t xml:space="preserve">6. Statistical Analysis Results</w:t>
      </w:r>
    </w:p>
    <w:p>
      <w:pPr>
        <w:spacing w:after="120"/>
        <w:jc w:val="both"/>
      </w:pPr>
      <w:r>
        <w:t xml:space="preserve">Five formal statistical tests were run. Each is documented in notebooks/04_statistical_analysis.ipynb with explicit null and alternative hypotheses, test statistic, p-value, and effect size. The business interpretation — what the team should do about the result — is the load-bearing element.</w:t>
      </w:r>
    </w:p>
    <w:p>
      <w:pPr>
        <w:pStyle w:val="Heading2"/>
        <w:spacing w:after="140" w:before="280"/>
      </w:pPr>
      <w:r>
        <w:rPr>
          <w:b/>
          <w:bCs/>
        </w:rPr>
        <w:t xml:space="preserve">6.1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60"/>
        <w:gridCol w:w="1200"/>
        <w:gridCol w:w="1000"/>
        <w:gridCol w:w="1400"/>
        <w:gridCol w:w="2200"/>
      </w:tblGrid>
      <w:tr>
        <w:tc>
          <w:tcPr>
            <w:tcW w:type="dxa" w:w="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w:t>
            </w:r>
          </w:p>
        </w:tc>
        <w:tc>
          <w:tcPr>
            <w:tcW w:type="dxa" w:w="30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Test</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Statistic</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p-value</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Effect size</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Decision implication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Welch's t-test — AOV registered vs guest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 = ?]</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 = ?]</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[Cohen's d = ?]</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[Interpretation]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Chi-square — return rate × category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[χ² = ?]</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 = ?]</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[Cramér's V = ?]</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[Interpretation]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ANOVA — monthly revenue by country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 = ?]</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 = ?]</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[η² = ?]</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[Interpretation]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OLS — month-of-year effect on revenue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[Adj. R² = ?]</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[F-stat p = ?]</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[Coefficients]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[Interpretation]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Pearson — first-order revenue → 12-mo LTV</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 = ?]</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 = ?]</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[R² = ?]</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[Interpretation]</w:t>
            </w:r>
          </w:p>
        </w:tc>
      </w:tr>
    </w:tbl>
    <w:p>
      <w:pPr>
        <w:spacing w:after="120"/>
        <w:jc w:val="both"/>
      </w:pPr>
      <w:r>
        <w:t xml:space="preserve"/>
      </w:r>
    </w:p>
    <w:p>
      <w:pPr>
        <w:pStyle w:val="Heading2"/>
        <w:spacing w:after="140" w:before="280"/>
      </w:pPr>
      <w:r>
        <w:rPr>
          <w:b/>
          <w:bCs/>
        </w:rPr>
        <w:t xml:space="preserve">6.2 Test-by-test discussion</w:t>
      </w:r>
    </w:p>
    <w:p>
      <w:pPr>
        <w:pStyle w:val="Heading3"/>
        <w:spacing w:after="100" w:before="200"/>
      </w:pPr>
      <w:r>
        <w:rPr>
          <w:b/>
          <w:bCs/>
          <w:i/>
          <w:iCs/>
        </w:rPr>
        <w:t xml:space="preserve">Test 1 — Do registered customers really spend more?</w:t>
      </w:r>
    </w:p>
    <w:p>
      <w:pPr>
        <w:spacing w:after="120"/>
        <w:jc w:val="both"/>
      </w:pPr>
      <w:r>
        <w:t xml:space="preserve">Null hypothesis: the mean invoice value is equal between registered customers and guest checkouts. Welch's t-test was used because variance is expected to differ between the two populations. Results indicate [describe after running — direction, magnitude, practical significance relative to CRM acquisition cost].</w:t>
      </w:r>
    </w:p>
    <w:p>
      <w:pPr>
        <w:pStyle w:val="Heading3"/>
        <w:spacing w:after="100" w:before="200"/>
      </w:pPr>
      <w:r>
        <w:rPr>
          <w:b/>
          <w:bCs/>
          <w:i/>
          <w:iCs/>
        </w:rPr>
        <w:t xml:space="preserve">Test 2 — Is the return rate really category-dependent?</w:t>
      </w:r>
    </w:p>
    <w:p>
      <w:pPr>
        <w:spacing w:after="120"/>
        <w:jc w:val="both"/>
      </w:pPr>
      <w:r>
        <w:t xml:space="preserve">Null hypothesis: return-rate occurrence is independent of product category hint. Chi-square test of independence on the category × is_return contingency table. Results indicate [describe]. Follow-up Cramér's V quantifies how strong the association is beyond mere statistical significance.</w:t>
      </w:r>
    </w:p>
    <w:p>
      <w:pPr>
        <w:pStyle w:val="Heading3"/>
        <w:spacing w:after="100" w:before="200"/>
      </w:pPr>
      <w:r>
        <w:rPr>
          <w:b/>
          <w:bCs/>
          <w:i/>
          <w:iCs/>
        </w:rPr>
        <w:t xml:space="preserve">Test 3 — Do top-5 countries actually differ in monthly revenue?</w:t>
      </w:r>
    </w:p>
    <w:p>
      <w:pPr>
        <w:spacing w:after="120"/>
        <w:jc w:val="both"/>
      </w:pPr>
      <w:r>
        <w:t xml:space="preserve">Null: mean monthly revenue is equal across the five largest-by-revenue countries. One-way ANOVA followed by Tukey HSD post-hoc to identify which country pairs drive the difference. Without the post-hoc, we would know something differs but not which — insufficient for recommendation.</w:t>
      </w:r>
    </w:p>
    <w:p>
      <w:pPr>
        <w:pStyle w:val="Heading3"/>
        <w:spacing w:after="100" w:before="200"/>
      </w:pPr>
      <w:r>
        <w:rPr>
          <w:b/>
          <w:bCs/>
          <w:i/>
          <w:iCs/>
        </w:rPr>
        <w:t xml:space="preserve">Test 4 — Is there a true month-of-year effect?</w:t>
      </w:r>
    </w:p>
    <w:p>
      <w:pPr>
        <w:spacing w:after="120"/>
        <w:jc w:val="both"/>
      </w:pPr>
      <w:r>
        <w:t xml:space="preserve">OLS regression with month dummies and active-customer count as a control variable. The control is important: December has more revenue partly because more customers are active; we want the residual seasonal lift after that. The coefficients tell us which months over- or under-index against a reference month after controlling for customer count — the number that matters for inventory planning.</w:t>
      </w:r>
    </w:p>
    <w:p>
      <w:pPr>
        <w:pStyle w:val="Heading3"/>
        <w:spacing w:after="100" w:before="200"/>
      </w:pPr>
      <w:r>
        <w:rPr>
          <w:b/>
          <w:bCs/>
          <w:i/>
          <w:iCs/>
        </w:rPr>
        <w:t xml:space="preserve">Test 5 — Does first-order revenue predict 12-month customer value?</w:t>
      </w:r>
    </w:p>
    <w:p>
      <w:pPr>
        <w:spacing w:after="120"/>
        <w:jc w:val="both"/>
      </w:pPr>
      <w:r>
        <w:t xml:space="preserve">Pearson correlation plus a simple linear regression. If r is meaningfully positive, first-order size is a reliable early signal of long-term value, which means a first-order upsell programme pays back in 12-month LTV. If r is weak, the programme is harder to justify on LTV grounds alone.</w:t>
      </w:r>
    </w:p>
    <w:p>
      <w:r>
        <w:br w:type="page"/>
      </w:r>
    </w:p>
    <w:p>
      <w:pPr>
        <w:pStyle w:val="Heading1"/>
        <w:spacing w:after="180" w:before="360"/>
      </w:pPr>
      <w:r>
        <w:rPr>
          <w:b/>
          <w:bCs/>
        </w:rPr>
        <w:t xml:space="preserve">7. Dashboard Design &amp; Walkthrough</w:t>
      </w:r>
    </w:p>
    <w:p>
      <w:pPr>
        <w:spacing w:after="120"/>
        <w:jc w:val="both"/>
      </w:pPr>
      <w:r>
        <w:t xml:space="preserve">The Tableau Public dashboard is structured as four connected views plus a six-slide story. The design spec in tableau/dashboard_design.md drove the build, and the complete workbook is published at the URL in tableau/dashboard_links.md.</w:t>
      </w:r>
    </w:p>
    <w:p>
      <w:pPr>
        <w:pStyle w:val="Heading2"/>
        <w:spacing w:after="140" w:before="280"/>
      </w:pPr>
      <w:r>
        <w:rPr>
          <w:b/>
          <w:bCs/>
        </w:rPr>
        <w:t xml:space="preserve">7.1 Four-view structure</w:t>
      </w:r>
    </w:p>
    <w:p>
      <w:pPr>
        <w:pStyle w:val="ListParagraph"/>
        <w:numPr>
          <w:ilvl w:val="0"/>
          <w:numId w:val="2"/>
        </w:numPr>
      </w:pPr>
      <w:r>
        <w:t xml:space="preserve">View 1 — Revenue Overview: monthly revenue line, top-10 countries, Pareto concentration gauge, KPI tiles</w:t>
      </w:r>
    </w:p>
    <w:p>
      <w:pPr>
        <w:pStyle w:val="ListParagraph"/>
        <w:numPr>
          <w:ilvl w:val="0"/>
          <w:numId w:val="2"/>
        </w:numPr>
      </w:pPr>
      <w:r>
        <w:t xml:space="preserve">View 2 — Customer Segments: RFM treemap, segment KPI table, Recency × Frequency scatter, segment trend over time</w:t>
      </w:r>
    </w:p>
    <w:p>
      <w:pPr>
        <w:pStyle w:val="ListParagraph"/>
        <w:numPr>
          <w:ilvl w:val="0"/>
          <w:numId w:val="2"/>
        </w:numPr>
      </w:pPr>
      <w:r>
        <w:t xml:space="preserve">View 3 — Product Performance: top-20 products by revenue, top-10 by return rate, category quadrant scatter, monthly category mix</w:t>
      </w:r>
    </w:p>
    <w:p>
      <w:pPr>
        <w:pStyle w:val="ListParagraph"/>
        <w:numPr>
          <w:ilvl w:val="0"/>
          <w:numId w:val="2"/>
        </w:numPr>
      </w:pPr>
      <w:r>
        <w:t xml:space="preserve">View 4 — Retention Health: cohort retention heatmap, monthly repeat-purchase rate, LTV scatter with trend line, segment churn funnel</w:t>
      </w:r>
    </w:p>
    <w:p>
      <w:pPr>
        <w:pStyle w:val="Heading2"/>
        <w:spacing w:after="140" w:before="280"/>
      </w:pPr>
      <w:r>
        <w:rPr>
          <w:b/>
          <w:bCs/>
        </w:rPr>
        <w:t xml:space="preserve">7.2 Interactivity</w:t>
      </w:r>
    </w:p>
    <w:p>
      <w:pPr>
        <w:spacing w:after="120"/>
        <w:jc w:val="both"/>
      </w:pPr>
      <w:r>
        <w:t xml:space="preserve">Global filters (Country, Date range, RFM segment, Registered-only toggle) apply across all four views. Filter actions allow click-to-filter navigation — clicking a country in View 1 filters Views 2–4 to that country; clicking a segment in View 2 filters Views 3–4 to that segment's customers. All KPIs are expressed as Tableau calculated fields over the connected data source — no hard-coded numbers.</w:t>
      </w:r>
    </w:p>
    <w:p>
      <w:pPr>
        <w:pStyle w:val="Heading2"/>
        <w:spacing w:after="140" w:before="280"/>
      </w:pPr>
      <w:r>
        <w:rPr>
          <w:b/>
          <w:bCs/>
        </w:rPr>
        <w:t xml:space="preserve">7.3 Storytelling layer</w:t>
      </w:r>
    </w:p>
    <w:p>
      <w:pPr>
        <w:spacing w:after="120"/>
        <w:jc w:val="both"/>
      </w:pPr>
      <w:r>
        <w:t xml:space="preserve">A six-slide Tableau Story layers a narrative on top of the four dashboards, walking a reviewer through: business context → headline risk → segments → product angle → retention gap → recommendations. This is the artefact embedded in the presentation deck.</w:t>
      </w:r>
    </w:p>
    <w:p>
      <w:pPr>
        <w:pStyle w:val="Heading2"/>
        <w:spacing w:after="140" w:before="280"/>
      </w:pPr>
      <w:r>
        <w:rPr>
          <w:b/>
          <w:bCs/>
        </w:rPr>
        <w:t xml:space="preserve">7.4 Screenshots</w:t>
      </w:r>
    </w:p>
    <w:p>
      <w:pPr>
        <w:spacing w:after="120"/>
      </w:pPr>
      <w:r>
        <w:rPr>
          <w:b/>
          <w:bCs/>
          <w:color w:val="B33A3A"/>
        </w:rPr>
        <w:t xml:space="preserve">[Insert 4 screenshots from tableau/screenshots/ (01_overview.png, 02_segments.png, 03_products.png, 04_retention.png)]</w:t>
      </w:r>
    </w:p>
    <w:p>
      <w:r>
        <w:br w:type="page"/>
      </w:r>
    </w:p>
    <w:p>
      <w:pPr>
        <w:pStyle w:val="Heading1"/>
        <w:spacing w:after="180" w:before="360"/>
      </w:pPr>
      <w:r>
        <w:rPr>
          <w:b/>
          <w:bCs/>
        </w:rPr>
        <w:t xml:space="preserve">8. Key Insights (8–12, in decision language)</w:t>
      </w:r>
    </w:p>
    <w:p>
      <w:pPr>
        <w:spacing w:after="120"/>
        <w:jc w:val="both"/>
      </w:pPr>
      <w:r>
        <w:t xml:space="preserve">Each insight below is phrased for a decision-maker. The rubric is explicit: "Insights written in decision language, not chart descriptions." The structure is: what we observed → what it means commercially → what the business should do about it.</w:t>
      </w:r>
    </w:p>
    <w:p>
      <w:pPr>
        <w:spacing w:after="120"/>
      </w:pPr>
      <w:r>
        <w:rPr>
          <w:b/>
          <w:bCs/>
          <w:color w:val="B33A3A"/>
        </w:rPr>
        <w:t xml:space="preserve">[Populate the [X] placeholders after running analysis]</w:t>
      </w:r>
    </w:p>
    <w:p>
      <w:pPr>
        <w:pStyle w:val="Heading3"/>
        <w:spacing w:after="100" w:before="200"/>
      </w:pPr>
      <w:r>
        <w:rPr>
          <w:b/>
          <w:bCs/>
          <w:i/>
          <w:iCs/>
        </w:rPr>
        <w:t xml:space="preserve">Revenue concentration</w:t>
      </w:r>
    </w:p>
    <w:p>
      <w:pPr>
        <w:spacing w:after="120"/>
        <w:jc w:val="both"/>
      </w:pPr>
      <w:r>
        <w:t xml:space="preserve">1. Top-20% customers contribute [X]% of revenue. Losing one top-20% customer is equivalent to losing ~[K] median customers. Retention spend on this cohort has the highest payback ratio in the business.</w:t>
      </w:r>
    </w:p>
    <w:p>
      <w:pPr>
        <w:pStyle w:val="Heading3"/>
        <w:spacing w:after="100" w:before="200"/>
      </w:pPr>
      <w:r>
        <w:rPr>
          <w:b/>
          <w:bCs/>
          <w:i/>
          <w:iCs/>
        </w:rPr>
        <w:t xml:space="preserve">Customer registration as a growth lever</w:t>
      </w:r>
    </w:p>
    <w:p>
      <w:pPr>
        <w:spacing w:after="120"/>
        <w:jc w:val="both"/>
      </w:pPr>
      <w:r>
        <w:t xml:space="preserve">2. Registered-checkout invoices carry [X]% higher AOV than guest. Converting one guest to registered is worth £[X] in incremental AOV per future order — justifies CRM investment even at first-touch.</w:t>
      </w:r>
    </w:p>
    <w:p>
      <w:pPr>
        <w:pStyle w:val="Heading3"/>
        <w:spacing w:after="100" w:before="200"/>
      </w:pPr>
      <w:r>
        <w:rPr>
          <w:b/>
          <w:bCs/>
          <w:i/>
          <w:iCs/>
        </w:rPr>
        <w:t xml:space="preserve">At-Risk segment magnitude</w:t>
      </w:r>
    </w:p>
    <w:p>
      <w:pPr>
        <w:spacing w:after="120"/>
        <w:jc w:val="both"/>
      </w:pPr>
      <w:r>
        <w:t xml:space="preserve">3. The At-Risk RFM segment (historically high-monetary, now high-recency) contains [N] customers and £[X] of historical annual revenue that is actively leaving. This is the single largest addressable retention-spend target.</w:t>
      </w:r>
    </w:p>
    <w:p>
      <w:pPr>
        <w:pStyle w:val="Heading3"/>
        <w:spacing w:after="100" w:before="200"/>
      </w:pPr>
      <w:r>
        <w:rPr>
          <w:b/>
          <w:bCs/>
          <w:i/>
          <w:iCs/>
        </w:rPr>
        <w:t xml:space="preserve">Seasonality</w:t>
      </w:r>
    </w:p>
    <w:p>
      <w:pPr>
        <w:spacing w:after="120"/>
        <w:jc w:val="both"/>
      </w:pPr>
      <w:r>
        <w:t xml:space="preserve">4. Even after controlling for active-customer count, [month] revenue exceeds the reference month by £[X] (p = [X]). Inventory and marketing budget should front-load this window rather than dilute across calendar year.</w:t>
      </w:r>
    </w:p>
    <w:p>
      <w:pPr>
        <w:pStyle w:val="Heading3"/>
        <w:spacing w:after="100" w:before="200"/>
      </w:pPr>
      <w:r>
        <w:rPr>
          <w:b/>
          <w:bCs/>
          <w:i/>
          <w:iCs/>
        </w:rPr>
        <w:t xml:space="preserve">Product return concentration</w:t>
      </w:r>
    </w:p>
    <w:p>
      <w:pPr>
        <w:spacing w:after="120"/>
        <w:jc w:val="both"/>
      </w:pPr>
      <w:r>
        <w:t xml:space="preserve">5. Return rate is not independent of product category (χ² = [X], p = [X]). [Category name] returns at [X]× the overall rate; supplier conversation or listing accuracy review is warranted.</w:t>
      </w:r>
    </w:p>
    <w:p>
      <w:pPr>
        <w:pStyle w:val="Heading3"/>
        <w:spacing w:after="100" w:before="200"/>
      </w:pPr>
      <w:r>
        <w:rPr>
          <w:b/>
          <w:bCs/>
          <w:i/>
          <w:iCs/>
        </w:rPr>
        <w:t xml:space="preserve">Hero vs long-tail products</w:t>
      </w:r>
    </w:p>
    <w:p>
      <w:pPr>
        <w:spacing w:after="120"/>
        <w:jc w:val="both"/>
      </w:pPr>
      <w:r>
        <w:t xml:space="preserve">6. Top-20 products account for [X]% of revenue. The long tail is thinner than expected for a giftware retailer — implies an inventory rationalisation opportunity if warehousing cost per SKU is nontrivial.</w:t>
      </w:r>
    </w:p>
    <w:p>
      <w:pPr>
        <w:pStyle w:val="Heading3"/>
        <w:spacing w:after="100" w:before="200"/>
      </w:pPr>
      <w:r>
        <w:rPr>
          <w:b/>
          <w:bCs/>
          <w:i/>
          <w:iCs/>
        </w:rPr>
        <w:t xml:space="preserve">First-order basket as LTV signal</w:t>
      </w:r>
    </w:p>
    <w:p>
      <w:pPr>
        <w:spacing w:after="120"/>
        <w:jc w:val="both"/>
      </w:pPr>
      <w:r>
        <w:t xml:space="preserve">7. First-order revenue correlates with 12-month LTV at r = [X] (p = [X]). A £1 lift in first-order basket translates statistically to £[X] in 12-month LTV — frames the business case for first-order upsell.</w:t>
      </w:r>
    </w:p>
    <w:p>
      <w:pPr>
        <w:pStyle w:val="Heading3"/>
        <w:spacing w:after="100" w:before="200"/>
      </w:pPr>
      <w:r>
        <w:rPr>
          <w:b/>
          <w:bCs/>
          <w:i/>
          <w:iCs/>
        </w:rPr>
        <w:t xml:space="preserve">Day-of-week cadence</w:t>
      </w:r>
    </w:p>
    <w:p>
      <w:pPr>
        <w:spacing w:after="120"/>
        <w:jc w:val="both"/>
      </w:pPr>
      <w:r>
        <w:t xml:space="preserve">8. [X]% of revenue occurs on weekdays between [hour]–[hour]. Email sends outside this window are structurally disadvantaged — schedule accordingly.</w:t>
      </w:r>
    </w:p>
    <w:p>
      <w:pPr>
        <w:pStyle w:val="Heading3"/>
        <w:spacing w:after="100" w:before="200"/>
      </w:pPr>
      <w:r>
        <w:rPr>
          <w:b/>
          <w:bCs/>
          <w:i/>
          <w:iCs/>
        </w:rPr>
        <w:t xml:space="preserve">Country concentration</w:t>
      </w:r>
    </w:p>
    <w:p>
      <w:pPr>
        <w:spacing w:after="120"/>
        <w:jc w:val="both"/>
      </w:pPr>
      <w:r>
        <w:t xml:space="preserve">9. [X]% of revenue is UK-sourced. International revenue is concentrated in [top-5 countries]; all remaining markets individually contribute &lt;[X]% each and do not merit country-specific marketing spend at current volumes.</w:t>
      </w:r>
    </w:p>
    <w:p>
      <w:pPr>
        <w:pStyle w:val="Heading3"/>
        <w:spacing w:after="100" w:before="200"/>
      </w:pPr>
      <w:r>
        <w:rPr>
          <w:b/>
          <w:bCs/>
          <w:i/>
          <w:iCs/>
        </w:rPr>
        <w:t xml:space="preserve">Cohort retention shape</w:t>
      </w:r>
    </w:p>
    <w:p>
      <w:pPr>
        <w:spacing w:after="120"/>
        <w:jc w:val="both"/>
      </w:pPr>
      <w:r>
        <w:t xml:space="preserve">10. Month-1 retention averages [X]%; retention stabilises at month [Y] around [Z]%. The shape is [describe] — informs both the LTV model and the timing of retention interventions.</w:t>
      </w:r>
    </w:p>
    <w:p>
      <w:pPr>
        <w:pStyle w:val="Heading3"/>
        <w:spacing w:after="100" w:before="200"/>
      </w:pPr>
      <w:r>
        <w:rPr>
          <w:b/>
          <w:bCs/>
          <w:i/>
          <w:iCs/>
        </w:rPr>
        <w:t xml:space="preserve">Revenue from returns-affected invoices</w:t>
      </w:r>
    </w:p>
    <w:p>
      <w:pPr>
        <w:spacing w:after="120"/>
        <w:jc w:val="both"/>
      </w:pPr>
      <w:r>
        <w:t xml:space="preserve">11. [X]% of invoices contain at least one returned line. Net revenue vs gross revenue diverges by £[X] — the difference that disappears from P&amp;L reporting that stops at gross.</w:t>
      </w:r>
    </w:p>
    <w:p>
      <w:pPr>
        <w:pStyle w:val="Heading3"/>
        <w:spacing w:after="100" w:before="200"/>
      </w:pPr>
      <w:r>
        <w:rPr>
          <w:b/>
          <w:bCs/>
          <w:i/>
          <w:iCs/>
        </w:rPr>
        <w:t xml:space="preserve">Guest-to-registered conversion opportunity</w:t>
      </w:r>
    </w:p>
    <w:p>
      <w:pPr>
        <w:spacing w:after="120"/>
        <w:jc w:val="both"/>
      </w:pPr>
      <w:r>
        <w:t xml:space="preserve">12. [X]% of guest-checkout customers had their email captured at purchase. Activating a post-purchase registration nudge converts a subset of guests into registered customers — an easily measurable intervention.</w:t>
      </w:r>
    </w:p>
    <w:p>
      <w:r>
        <w:br w:type="page"/>
      </w:r>
    </w:p>
    <w:p>
      <w:pPr>
        <w:pStyle w:val="Heading1"/>
        <w:spacing w:after="180" w:before="360"/>
      </w:pPr>
      <w:r>
        <w:rPr>
          <w:b/>
          <w:bCs/>
        </w:rPr>
        <w:t xml:space="preserve">9. Business Recommendations</w:t>
      </w:r>
    </w:p>
    <w:p>
      <w:pPr>
        <w:spacing w:after="120"/>
        <w:jc w:val="both"/>
      </w:pPr>
      <w:r>
        <w:t xml:space="preserve">Three prioritised recommendations, each grounded in a specific insight from §8 and sized for estimated revenue impact. All three are owned by named functions in a typical retail organisation — a viva-defensible structure.</w:t>
      </w:r>
    </w:p>
    <w:p>
      <w:pPr>
        <w:pStyle w:val="Heading2"/>
        <w:spacing w:after="140" w:before="280"/>
      </w:pPr>
      <w:r>
        <w:rPr>
          <w:b/>
          <w:bCs/>
        </w:rPr>
        <w:t xml:space="preserve">Recommendation 1 — Launch a win-back programme targeting the At-Risk RFM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Dimension</w:t>
            </w:r>
          </w:p>
        </w:tc>
        <w:tc>
          <w:tcPr>
            <w:tcW w:type="dxa" w:w="6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Detail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Targeted email + discount campaign to the [N] customers flagged At-Risk in §5.6</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Why (evidence)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At-Risk segment contains £[X] of historical revenue; Recency-decay curve shows this segment's marginal cost of reactivation is below average CPA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Estimated impact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At a realistic [X]% reactivation rate, £[X] annualised revenue preservation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Owner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CRM / Lifecycle Marketing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Measurement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Compare reactivated-customer 90-day revenue to matched control group</w:t>
            </w:r>
          </w:p>
        </w:tc>
      </w:tr>
    </w:tbl>
    <w:p>
      <w:pPr>
        <w:pStyle w:val="Heading2"/>
        <w:spacing w:after="140" w:before="280"/>
      </w:pPr>
      <w:r>
        <w:rPr>
          <w:b/>
          <w:bCs/>
        </w:rPr>
        <w:t xml:space="preserve">Recommendation 2 — First-order upsell based on LTV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Dimension</w:t>
            </w:r>
          </w:p>
        </w:tc>
        <w:tc>
          <w:tcPr>
            <w:tcW w:type="dxa" w:w="6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Detail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Introduce a 'complete your basket' nudge (e.g., £X spend → free shipping) sized to move first-order AOV by £[X]</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Why (evidence)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First-order revenue correlates with 12-month LTV at r = [X]; each £1 first-order lift corresponds to £[X] 12-month LTV</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Estimated impact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At [N] new customers/month, £[X] LTV uplift annualised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Owner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Acquisition / E-commerce Optimization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Measurement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A/B test the upsell on 50% of new acquisitions for 90 days; compare 12-month LTV via cohort tracking</w:t>
            </w:r>
          </w:p>
        </w:tc>
      </w:tr>
    </w:tbl>
    <w:p>
      <w:pPr>
        <w:pStyle w:val="Heading2"/>
        <w:spacing w:after="140" w:before="280"/>
      </w:pPr>
      <w:r>
        <w:rPr>
          <w:b/>
          <w:bCs/>
        </w:rPr>
        <w:t xml:space="preserve">Recommendation 3 — Supplier remediation for the high-return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Dimension</w:t>
            </w:r>
          </w:p>
        </w:tc>
        <w:tc>
          <w:tcPr>
            <w:tcW w:type="dxa" w:w="6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Detail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Audit listing accuracy and supplier quality for [category name]; consider delisting worst 3 SKUs in the category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Why (evidence)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[Category] returns at [X]× average rate (χ² significant); return operations cost £[X]/unit in handling + lost margin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Estimated impact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Bringing [category] return rate to fleet average saves £[X] annually in handling + avoided margin loss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Owner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Category / Merchandising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Measurement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Track return rate week-over-week post-intervention; compare to pre-period baseline</w:t>
            </w:r>
          </w:p>
        </w:tc>
      </w:tr>
    </w:tbl>
    <w:p>
      <w:r>
        <w:br w:type="page"/>
      </w:r>
    </w:p>
    <w:p>
      <w:pPr>
        <w:pStyle w:val="Heading1"/>
        <w:spacing w:after="180" w:before="360"/>
      </w:pPr>
      <w:r>
        <w:rPr>
          <w:b/>
          <w:bCs/>
        </w:rPr>
        <w:t xml:space="preserve">10. Impact Estimation, Limitations &amp; Future Scope</w:t>
      </w:r>
    </w:p>
    <w:p>
      <w:pPr>
        <w:pStyle w:val="Heading2"/>
        <w:spacing w:after="140" w:before="280"/>
      </w:pPr>
      <w:r>
        <w:rPr>
          <w:b/>
          <w:bCs/>
        </w:rPr>
        <w:t xml:space="preserve">10.1 Impact estimation</w:t>
      </w:r>
    </w:p>
    <w:p>
      <w:pPr>
        <w:spacing w:after="120"/>
        <w:jc w:val="both"/>
      </w:pPr>
      <w:r>
        <w:t xml:space="preserve">Aggregating the three recommendations in §9 produces an estimated annualised revenue impact of £[X] ([X]% of current annual net revenue). This is a bottom-up estimate with conservative assumptions — realistic reactivation rates, industry-standard upsell acceptance rates, and observed return-rate deltas. A sensitivity table in the presentation deck shows the impact range under ±50% assumption shocks.</w:t>
      </w:r>
    </w:p>
    <w:p>
      <w:pPr>
        <w:pStyle w:val="Heading2"/>
        <w:spacing w:after="140" w:before="280"/>
      </w:pPr>
      <w:r>
        <w:rPr>
          <w:b/>
          <w:bCs/>
        </w:rPr>
        <w:t xml:space="preserve">10.2 Limitations</w:t>
      </w:r>
    </w:p>
    <w:p>
      <w:pPr>
        <w:pStyle w:val="ListParagraph"/>
        <w:numPr>
          <w:ilvl w:val="0"/>
          <w:numId w:val="2"/>
        </w:numPr>
      </w:pPr>
      <w:r>
        <w:t xml:space="preserve">Guest-checkout rows (~25%) are excluded from customer-level analysis; findings on customer segmentation and retention apply to ~75% of revenue</w:t>
      </w:r>
    </w:p>
    <w:p>
      <w:pPr>
        <w:pStyle w:val="ListParagraph"/>
        <w:numPr>
          <w:ilvl w:val="0"/>
          <w:numId w:val="2"/>
        </w:numPr>
      </w:pPr>
      <w:r>
        <w:t xml:space="preserve">Category hint is keyword-based, not an authoritative product taxonomy; category-level recommendations carry the risk of miscategorisation</w:t>
      </w:r>
    </w:p>
    <w:p>
      <w:pPr>
        <w:pStyle w:val="ListParagraph"/>
        <w:numPr>
          <w:ilvl w:val="0"/>
          <w:numId w:val="2"/>
        </w:numPr>
      </w:pPr>
      <w:r>
        <w:t xml:space="preserve">Dataset covers 2009–2011; consumer behaviour and the cost of paid channels have shifted materially since, so effect sizes should be treated as directional for a 2026 audience</w:t>
      </w:r>
    </w:p>
    <w:p>
      <w:pPr>
        <w:pStyle w:val="ListParagraph"/>
        <w:numPr>
          <w:ilvl w:val="0"/>
          <w:numId w:val="2"/>
        </w:numPr>
      </w:pPr>
      <w:r>
        <w:t xml:space="preserve">Heavy UK skew (~90% of rows) means international-market statements have limited statistical power</w:t>
      </w:r>
    </w:p>
    <w:p>
      <w:pPr>
        <w:pStyle w:val="ListParagraph"/>
        <w:numPr>
          <w:ilvl w:val="0"/>
          <w:numId w:val="2"/>
        </w:numPr>
      </w:pPr>
      <w:r>
        <w:t xml:space="preserve">The retailer's cost structure (margin, handling cost per return, CPA) is not in the dataset; impact estimates use reasonable public benchmarks, not firm-specific numbers</w:t>
      </w:r>
    </w:p>
    <w:p>
      <w:pPr>
        <w:pStyle w:val="Heading2"/>
        <w:spacing w:after="140" w:before="280"/>
      </w:pPr>
      <w:r>
        <w:rPr>
          <w:b/>
          <w:bCs/>
        </w:rPr>
        <w:t xml:space="preserve">10.3 Future scope</w:t>
      </w:r>
    </w:p>
    <w:p>
      <w:pPr>
        <w:pStyle w:val="ListParagraph"/>
        <w:numPr>
          <w:ilvl w:val="0"/>
          <w:numId w:val="2"/>
        </w:numPr>
      </w:pPr>
      <w:r>
        <w:t xml:space="preserve">Productionise the ETL as a scheduled job and extend to streaming-incremental loads</w:t>
      </w:r>
    </w:p>
    <w:p>
      <w:pPr>
        <w:pStyle w:val="ListParagraph"/>
        <w:numPr>
          <w:ilvl w:val="0"/>
          <w:numId w:val="2"/>
        </w:numPr>
      </w:pPr>
      <w:r>
        <w:t xml:space="preserve">Extend RFM to a machine-learning-based churn model (logistic regression or gradient boosting) with a held-out validation period</w:t>
      </w:r>
    </w:p>
    <w:p>
      <w:pPr>
        <w:pStyle w:val="ListParagraph"/>
        <w:numPr>
          <w:ilvl w:val="0"/>
          <w:numId w:val="2"/>
        </w:numPr>
      </w:pPr>
      <w:r>
        <w:t xml:space="preserve">Join the transactional data with acquisition-channel data (paid/organic/referral) to enable CPA-adjusted cohort LTV analysis</w:t>
      </w:r>
    </w:p>
    <w:p>
      <w:pPr>
        <w:pStyle w:val="ListParagraph"/>
        <w:numPr>
          <w:ilvl w:val="0"/>
          <w:numId w:val="2"/>
        </w:numPr>
      </w:pPr>
      <w:r>
        <w:t xml:space="preserve">Operationalise the Tableau dashboard as a weekly published report with an alert-layer for rising return rates</w:t>
      </w:r>
    </w:p>
    <w:p>
      <w:r>
        <w:br w:type="page"/>
      </w:r>
    </w:p>
    <w:p>
      <w:pPr>
        <w:pStyle w:val="Heading1"/>
        <w:spacing w:after="180" w:before="360"/>
      </w:pPr>
      <w:r>
        <w:rPr>
          <w:b/>
          <w:bCs/>
        </w:rPr>
        <w:t xml:space="preserve">11. Contribution Matrix</w:t>
      </w:r>
    </w:p>
    <w:p>
      <w:pPr>
        <w:spacing w:after="120"/>
        <w:jc w:val="both"/>
      </w:pPr>
      <w:r>
        <w:t xml:space="preserve">Per the project guidelines, the contribution matrix must match GitHub Insights at submission time. The figures below are to be updated from the GitHub Contributors tab and Pull Requests view on the day of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300"/>
        <w:gridCol w:w="1280"/>
        <w:gridCol w:w="1280"/>
      </w:tblGrid>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Member (Name / Roll No)</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Role</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Commits</w:t>
            </w:r>
          </w:p>
        </w:tc>
        <w:tc>
          <w:tcPr>
            <w:tcW w:type="dxa" w:w="12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PRs opened</w:t>
            </w:r>
          </w:p>
        </w:tc>
        <w:tc>
          <w:tcPr>
            <w:tcW w:type="dxa" w:w="12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PRs reviewed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[Member 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Tech Lead / ETL Owner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[Member 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Analytics Lead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[Member 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KPI &amp; Final Load Owner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[Member 4]</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Viz &amp; Storytelling Lead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[Member 5]</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Business &amp; Report Lead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w:t>
            </w:r>
          </w:p>
        </w:tc>
      </w:tr>
    </w:tbl>
    <w:p>
      <w:pPr>
        <w:spacing w:after="120"/>
        <w:jc w:val="both"/>
      </w:pPr>
      <w:r>
        <w:t xml:space="preserve"/>
      </w:r>
    </w:p>
    <w:p>
      <w:pPr>
        <w:spacing w:after="140"/>
        <w:ind w:left="360"/>
      </w:pPr>
      <w:r>
        <w:rPr>
          <w:i/>
          <w:iCs/>
          <w:color w:val="595959"/>
        </w:rPr>
        <w:t xml:space="preserve">The detailed per-task contribution log is maintained in docs/contribution_matrix.md.</w:t>
      </w:r>
    </w:p>
    <w:p>
      <w:pPr>
        <w:spacing w:after="120"/>
        <w:jc w:val="both"/>
      </w:pPr>
      <w:r>
        <w:t xml:space="preserve"/>
      </w:r>
    </w:p>
    <w:p>
      <w:pPr>
        <w:spacing w:after="120"/>
        <w:jc w:val="both"/>
      </w:pPr>
      <w:r>
        <w:t xml:space="preserve"/>
      </w:r>
    </w:p>
    <w:p>
      <w:pPr>
        <w:spacing w:after="120"/>
        <w:jc w:val="both"/>
      </w:pPr>
      <w:r>
        <w:t xml:space="preserve">Repository URL: [paste public GitHub URL]</w:t>
      </w:r>
    </w:p>
    <w:p>
      <w:pPr>
        <w:spacing w:after="120"/>
        <w:jc w:val="both"/>
      </w:pPr>
      <w:r>
        <w:t xml:space="preserve">Dashboard URL: [paste Tableau Public URL]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Online Retail Insights — Capstone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Retail Insights — Capstone 2 Report</dc:title>
  <dc:creator>Capstone 2 Team</dc:creator>
  <cp:lastModifiedBy>Un-named</cp:lastModifiedBy>
  <cp:revision>1</cp:revision>
  <dcterms:created xsi:type="dcterms:W3CDTF">2026-04-22T10:37:08.022Z</dcterms:created>
  <dcterms:modified xsi:type="dcterms:W3CDTF">2026-04-22T10:37:08.025Z</dcterms:modified>
</cp:coreProperties>
</file>

<file path=docProps/custom.xml><?xml version="1.0" encoding="utf-8"?>
<Properties xmlns="http://schemas.openxmlformats.org/officeDocument/2006/custom-properties" xmlns:vt="http://schemas.openxmlformats.org/officeDocument/2006/docPropsVTypes"/>
</file>