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esentation-slides-outline"/>
    <w:p>
      <w:pPr>
        <w:pStyle w:val="Heading1"/>
        <w:spacing w:before="200" w:after="80"/>
        <w:jc w:val="left"/>
      </w:pPr>
      <w:r>
        <w:rPr>
          <w:rFonts w:ascii="Times New Roman" w:hAnsi="Times New Roman" w:eastAsia="Times New Roman"/>
        </w:rPr>
        <w:t xml:space="preserve">Presentation Slides Outline</w:t>
      </w:r>
    </w:p>
    <w:bookmarkStart w:id="9" w:name="slide-1-title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1: Title</w:t>
      </w:r>
    </w:p>
    <w:p>
      <w:pPr>
        <w:pStyle w:val="Compact"/>
        <w:numPr>
          <w:ilvl w:val="0"/>
          <w:numId w:val="1001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Turkish Pragmatic Emphasis Detection with BERT+CRF+SCL</w:t>
      </w:r>
    </w:p>
    <w:p>
      <w:pPr>
        <w:pStyle w:val="Compact"/>
        <w:numPr>
          <w:ilvl w:val="0"/>
          <w:numId w:val="1001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Course: 618 Derin Öğrenme</w:t>
      </w:r>
    </w:p>
    <w:p>
      <w:pPr>
        <w:pStyle w:val="Compact"/>
        <w:numPr>
          <w:ilvl w:val="0"/>
          <w:numId w:val="1001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Presenter name and student number</w:t>
      </w:r>
    </w:p>
    <w:bookmarkEnd w:id="9"/>
    <w:bookmarkStart w:id="10" w:name="slide-2-problem-motivation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2: Problem Motivation</w:t>
      </w:r>
    </w:p>
    <w:p>
      <w:pPr>
        <w:pStyle w:val="Compact"/>
        <w:numPr>
          <w:ilvl w:val="0"/>
          <w:numId w:val="100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Written Turkish does not explicitly encode spoken prosody</w:t>
      </w:r>
    </w:p>
    <w:p>
      <w:pPr>
        <w:pStyle w:val="Compact"/>
        <w:numPr>
          <w:ilvl w:val="0"/>
          <w:numId w:val="100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Pragmatic emphasis is important for TTS, sentiment analysis, and conversational AI</w:t>
      </w:r>
    </w:p>
    <w:p>
      <w:pPr>
        <w:pStyle w:val="Compact"/>
        <w:numPr>
          <w:ilvl w:val="0"/>
          <w:numId w:val="100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Turkish word order flexibility and morphology make rule-based focus detection difficult</w:t>
      </w:r>
    </w:p>
    <w:bookmarkEnd w:id="10"/>
    <w:bookmarkStart w:id="11" w:name="slide-3-research-question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3: Research Question</w:t>
      </w:r>
    </w:p>
    <w:p>
      <w:pPr>
        <w:pStyle w:val="Compact"/>
        <w:numPr>
          <w:ilvl w:val="0"/>
          <w:numId w:val="1003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Can a BERT-based token labeling model detect pragmatic emphasis in Turkish?</w:t>
      </w:r>
    </w:p>
    <w:p>
      <w:pPr>
        <w:pStyle w:val="Compact"/>
        <w:numPr>
          <w:ilvl w:val="0"/>
          <w:numId w:val="1003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Can supervised contrastive learning improve minority class detection?</w:t>
      </w:r>
    </w:p>
    <w:p>
      <w:pPr>
        <w:pStyle w:val="Compact"/>
        <w:numPr>
          <w:ilvl w:val="0"/>
          <w:numId w:val="1003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How robust is the model on out-of-distribution real Turkish text?</w:t>
      </w:r>
    </w:p>
    <w:bookmarkEnd w:id="11"/>
    <w:bookmarkStart w:id="12" w:name="slide-4-data-strategy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4: Data Strategy</w:t>
      </w:r>
    </w:p>
    <w:p>
      <w:pPr>
        <w:pStyle w:val="Compact"/>
        <w:numPr>
          <w:ilvl w:val="0"/>
          <w:numId w:val="100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Cleaned synthetic BIO dataset from previous phase</w:t>
      </w:r>
    </w:p>
    <w:p>
      <w:pPr>
        <w:pStyle w:val="Compact"/>
        <w:numPr>
          <w:ilvl w:val="0"/>
          <w:numId w:val="100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Final usable synthetic examples: 5,209</w:t>
      </w:r>
    </w:p>
    <w:p>
      <w:pPr>
        <w:pStyle w:val="Compact"/>
        <w:numPr>
          <w:ilvl w:val="0"/>
          <w:numId w:val="100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Split: 3,646 train / 781 val / 782 test</w:t>
      </w:r>
    </w:p>
    <w:p>
      <w:pPr>
        <w:pStyle w:val="Compact"/>
        <w:numPr>
          <w:ilvl w:val="0"/>
          <w:numId w:val="100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OOD set: 1,000 real Turkish sentences</w:t>
      </w:r>
    </w:p>
    <w:p>
      <w:pPr>
        <w:pStyle w:val="Compact"/>
        <w:numPr>
          <w:ilvl w:val="0"/>
          <w:numId w:val="100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Sources: TRSA reviews + Turkish tweets</w:t>
      </w:r>
    </w:p>
    <w:bookmarkEnd w:id="12"/>
    <w:bookmarkStart w:id="13" w:name="slide-5-final-architecture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5: Final Architecture</w:t>
      </w:r>
    </w:p>
    <w:p>
      <w:pPr>
        <w:pStyle w:val="Compact"/>
        <w:numPr>
          <w:ilvl w:val="0"/>
          <w:numId w:val="100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Input -&gt; Tokenizer -&gt; BERTurk</w:t>
      </w:r>
    </w:p>
    <w:p>
      <w:pPr>
        <w:pStyle w:val="Compact"/>
        <w:numPr>
          <w:ilvl w:val="0"/>
          <w:numId w:val="100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Branch 1: [CLS] -&gt; SCL head</w:t>
      </w:r>
    </w:p>
    <w:p>
      <w:pPr>
        <w:pStyle w:val="Compact"/>
        <w:numPr>
          <w:ilvl w:val="0"/>
          <w:numId w:val="100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Branch 2: token states -&gt; linear layer -&gt; CRF</w:t>
      </w:r>
    </w:p>
    <w:p>
      <w:pPr>
        <w:pStyle w:val="Compact"/>
        <w:numPr>
          <w:ilvl w:val="0"/>
          <w:numId w:val="100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Output labels: O, B-EMPHASIS, I-EMPHASIS</w:t>
      </w:r>
    </w:p>
    <w:p>
      <w:pPr>
        <w:pStyle w:val="Compact"/>
        <w:numPr>
          <w:ilvl w:val="0"/>
          <w:numId w:val="100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Loss: L_total = L_crf + 0.2 * L_scl</w:t>
      </w:r>
    </w:p>
    <w:bookmarkEnd w:id="13"/>
    <w:bookmarkStart w:id="14" w:name="slide-6-why-crf-and-scl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6: Why CRF and SCL?</w:t>
      </w:r>
    </w:p>
    <w:p>
      <w:pPr>
        <w:pStyle w:val="Compact"/>
        <w:numPr>
          <w:ilvl w:val="0"/>
          <w:numId w:val="1006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CRF enforces BIO sequence consistency</w:t>
      </w:r>
    </w:p>
    <w:p>
      <w:pPr>
        <w:pStyle w:val="Compact"/>
        <w:numPr>
          <w:ilvl w:val="0"/>
          <w:numId w:val="1006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SCL improves representation quality at sentence level</w:t>
      </w:r>
    </w:p>
    <w:p>
      <w:pPr>
        <w:pStyle w:val="Compact"/>
        <w:numPr>
          <w:ilvl w:val="0"/>
          <w:numId w:val="1006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Helps separate no-emphasis, single-token emphasis, and multi-token emphasis cases</w:t>
      </w:r>
    </w:p>
    <w:p>
      <w:pPr>
        <w:pStyle w:val="Compact"/>
        <w:numPr>
          <w:ilvl w:val="0"/>
          <w:numId w:val="1006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Especially useful for the minority I-EMPHASIS class</w:t>
      </w:r>
    </w:p>
    <w:bookmarkEnd w:id="14"/>
    <w:bookmarkStart w:id="15" w:name="slide-7-training-setup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7: Training Setup</w:t>
      </w:r>
    </w:p>
    <w:p>
      <w:pPr>
        <w:pStyle w:val="Compact"/>
        <w:numPr>
          <w:ilvl w:val="0"/>
          <w:numId w:val="1007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Backbone: dbmdz/bert-base-turkish-cased</w:t>
      </w:r>
    </w:p>
    <w:p>
      <w:pPr>
        <w:pStyle w:val="Compact"/>
        <w:numPr>
          <w:ilvl w:val="0"/>
          <w:numId w:val="1007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Batch size: 8</w:t>
      </w:r>
    </w:p>
    <w:p>
      <w:pPr>
        <w:pStyle w:val="Compact"/>
        <w:numPr>
          <w:ilvl w:val="0"/>
          <w:numId w:val="1007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Epochs: 3</w:t>
      </w:r>
    </w:p>
    <w:p>
      <w:pPr>
        <w:pStyle w:val="Compact"/>
        <w:numPr>
          <w:ilvl w:val="0"/>
          <w:numId w:val="1007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Encoder LR: 2e-5</w:t>
      </w:r>
    </w:p>
    <w:p>
      <w:pPr>
        <w:pStyle w:val="Compact"/>
        <w:numPr>
          <w:ilvl w:val="0"/>
          <w:numId w:val="1007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Head LR: 1e-4</w:t>
      </w:r>
    </w:p>
    <w:p>
      <w:pPr>
        <w:pStyle w:val="Compact"/>
        <w:numPr>
          <w:ilvl w:val="0"/>
          <w:numId w:val="1007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Device: Apple MPS</w:t>
      </w:r>
    </w:p>
    <w:bookmarkEnd w:id="15"/>
    <w:bookmarkStart w:id="16" w:name="slide-8-main-test-results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8: Main Test Results</w:t>
      </w:r>
    </w:p>
    <w:p>
      <w:pPr>
        <w:pStyle w:val="Compact"/>
        <w:numPr>
          <w:ilvl w:val="0"/>
          <w:numId w:val="1008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Baseline CE weighted F1: 0.8820</w:t>
      </w:r>
    </w:p>
    <w:p>
      <w:pPr>
        <w:pStyle w:val="Compact"/>
        <w:numPr>
          <w:ilvl w:val="0"/>
          <w:numId w:val="1008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BERT+CRF+SCL weighted F1: 0.8842</w:t>
      </w:r>
    </w:p>
    <w:p>
      <w:pPr>
        <w:pStyle w:val="Compact"/>
        <w:numPr>
          <w:ilvl w:val="0"/>
          <w:numId w:val="1008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Baseline I-EMPHASIS F1: 0.4375</w:t>
      </w:r>
    </w:p>
    <w:p>
      <w:pPr>
        <w:pStyle w:val="Compact"/>
        <w:numPr>
          <w:ilvl w:val="0"/>
          <w:numId w:val="1008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BERT+CRF+SCL I-EMPHASIS F1: 0.5556</w:t>
      </w:r>
    </w:p>
    <w:p>
      <w:pPr>
        <w:pStyle w:val="Compact"/>
        <w:numPr>
          <w:ilvl w:val="0"/>
          <w:numId w:val="1008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Main gain is minority-class improvement</w:t>
      </w:r>
    </w:p>
    <w:bookmarkEnd w:id="16"/>
    <w:bookmarkStart w:id="17" w:name="slide-9-ood-results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9: OOD Results</w:t>
      </w:r>
    </w:p>
    <w:p>
      <w:pPr>
        <w:pStyle w:val="Compact"/>
        <w:numPr>
          <w:ilvl w:val="0"/>
          <w:numId w:val="1009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Baseline OOD weighted F1: 0.8500</w:t>
      </w:r>
    </w:p>
    <w:p>
      <w:pPr>
        <w:pStyle w:val="Compact"/>
        <w:numPr>
          <w:ilvl w:val="0"/>
          <w:numId w:val="1009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Joint model OOD weighted F1: 0.8487</w:t>
      </w:r>
    </w:p>
    <w:p>
      <w:pPr>
        <w:pStyle w:val="Compact"/>
        <w:numPr>
          <w:ilvl w:val="0"/>
          <w:numId w:val="1009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Minority OOD F1 remains 0.0 for both</w:t>
      </w:r>
    </w:p>
    <w:p>
      <w:pPr>
        <w:pStyle w:val="Compact"/>
        <w:numPr>
          <w:ilvl w:val="0"/>
          <w:numId w:val="1009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Reason: OOD labels are still auto-suggested and need manual audit</w:t>
      </w:r>
    </w:p>
    <w:bookmarkEnd w:id="17"/>
    <w:bookmarkStart w:id="18" w:name="slide-10-hyperparameter-tuning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10: Hyperparameter Tuning</w:t>
      </w:r>
    </w:p>
    <w:p>
      <w:pPr>
        <w:pStyle w:val="Compact"/>
        <w:numPr>
          <w:ilvl w:val="0"/>
          <w:numId w:val="1010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Default config performed best overall</w:t>
      </w:r>
    </w:p>
    <w:p>
      <w:pPr>
        <w:pStyle w:val="Compact"/>
        <w:numPr>
          <w:ilvl w:val="0"/>
          <w:numId w:val="1010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Increasing dropout to 0.2 reduced minority-class quality</w:t>
      </w:r>
    </w:p>
    <w:p>
      <w:pPr>
        <w:pStyle w:val="Compact"/>
        <w:numPr>
          <w:ilvl w:val="0"/>
          <w:numId w:val="1010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Lower head LR gave acceptable validation scores but weaker final generalization</w:t>
      </w:r>
    </w:p>
    <w:bookmarkEnd w:id="18"/>
    <w:bookmarkStart w:id="19" w:name="slide-11-bert2d-pilot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11: BERT2D Pilot</w:t>
      </w:r>
    </w:p>
    <w:p>
      <w:pPr>
        <w:pStyle w:val="Compact"/>
        <w:numPr>
          <w:ilvl w:val="0"/>
          <w:numId w:val="1011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Public BERT2D checkpoint integrated successfully</w:t>
      </w:r>
    </w:p>
    <w:p>
      <w:pPr>
        <w:pStyle w:val="Compact"/>
        <w:numPr>
          <w:ilvl w:val="0"/>
          <w:numId w:val="1011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Pilot run completed</w:t>
      </w:r>
    </w:p>
    <w:p>
      <w:pPr>
        <w:pStyle w:val="Compact"/>
        <w:numPr>
          <w:ilvl w:val="0"/>
          <w:numId w:val="1011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Result below main BERTurk+CRF+SCL model</w:t>
      </w:r>
    </w:p>
    <w:p>
      <w:pPr>
        <w:pStyle w:val="Compact"/>
        <w:numPr>
          <w:ilvl w:val="0"/>
          <w:numId w:val="1011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Auditor warning: word_ids/subword_ids defaulted internally</w:t>
      </w:r>
    </w:p>
    <w:bookmarkEnd w:id="19"/>
    <w:bookmarkStart w:id="20" w:name="slide-12-genai-audit-findings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12: GenAI Audit Findings</w:t>
      </w:r>
    </w:p>
    <w:p>
      <w:pPr>
        <w:pStyle w:val="Compact"/>
        <w:numPr>
          <w:ilvl w:val="0"/>
          <w:numId w:val="101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GPT-4o style code draft had tensor shape mistakes</w:t>
      </w:r>
    </w:p>
    <w:p>
      <w:pPr>
        <w:pStyle w:val="Compact"/>
        <w:numPr>
          <w:ilvl w:val="0"/>
          <w:numId w:val="101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Claude style draft had masking and reduction mistakes</w:t>
      </w:r>
    </w:p>
    <w:p>
      <w:pPr>
        <w:pStyle w:val="Compact"/>
        <w:numPr>
          <w:ilvl w:val="0"/>
          <w:numId w:val="101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Human auditor corrected:</w:t>
      </w:r>
    </w:p>
    <w:p>
      <w:pPr>
        <w:pStyle w:val="Compact"/>
        <w:numPr>
          <w:ilvl w:val="0"/>
          <w:numId w:val="101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CLS-only contrastive branch</w:t>
      </w:r>
    </w:p>
    <w:p>
      <w:pPr>
        <w:pStyle w:val="Compact"/>
        <w:numPr>
          <w:ilvl w:val="0"/>
          <w:numId w:val="101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diagonal masking</w:t>
      </w:r>
    </w:p>
    <w:p>
      <w:pPr>
        <w:pStyle w:val="Compact"/>
        <w:numPr>
          <w:ilvl w:val="0"/>
          <w:numId w:val="101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zero-positive row handling</w:t>
      </w:r>
    </w:p>
    <w:p>
      <w:pPr>
        <w:pStyle w:val="Compact"/>
        <w:numPr>
          <w:ilvl w:val="0"/>
          <w:numId w:val="1012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stable environment pinning</w:t>
      </w:r>
    </w:p>
    <w:bookmarkEnd w:id="20"/>
    <w:bookmarkStart w:id="21" w:name="slide-13-key-conclusion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13: Key Conclusion</w:t>
      </w:r>
    </w:p>
    <w:p>
      <w:pPr>
        <w:pStyle w:val="Compact"/>
        <w:numPr>
          <w:ilvl w:val="0"/>
          <w:numId w:val="1013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BERT+CRF+SCL is the best practical final model in this project</w:t>
      </w:r>
    </w:p>
    <w:p>
      <w:pPr>
        <w:pStyle w:val="Compact"/>
        <w:numPr>
          <w:ilvl w:val="0"/>
          <w:numId w:val="1013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Overall gain is small, but minority-class gain is meaningful</w:t>
      </w:r>
    </w:p>
    <w:p>
      <w:pPr>
        <w:pStyle w:val="Compact"/>
        <w:numPr>
          <w:ilvl w:val="0"/>
          <w:numId w:val="1013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Research value lies in better I-EMPHASIS detection and a reproducible audited pipeline</w:t>
      </w:r>
    </w:p>
    <w:bookmarkEnd w:id="21"/>
    <w:bookmarkStart w:id="22" w:name="slide-14-limitations-and-future-work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14: Limitations and Future Work</w:t>
      </w:r>
    </w:p>
    <w:p>
      <w:pPr>
        <w:pStyle w:val="Compact"/>
        <w:numPr>
          <w:ilvl w:val="0"/>
          <w:numId w:val="101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OOD labels should be manually audited</w:t>
      </w:r>
    </w:p>
    <w:p>
      <w:pPr>
        <w:pStyle w:val="Compact"/>
        <w:numPr>
          <w:ilvl w:val="0"/>
          <w:numId w:val="101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BERT2D needs deeper integration for full fairness</w:t>
      </w:r>
    </w:p>
    <w:p>
      <w:pPr>
        <w:pStyle w:val="Compact"/>
        <w:numPr>
          <w:ilvl w:val="0"/>
          <w:numId w:val="1014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Possible next step: audited OOD evaluation + larger real Turkish focus dataset</w:t>
      </w:r>
    </w:p>
    <w:bookmarkEnd w:id="22"/>
    <w:bookmarkStart w:id="23" w:name="slide-15-closing"/>
    <w:p>
      <w:pPr>
        <w:pStyle w:val="Heading2"/>
        <w:spacing w:before="200" w:after="80"/>
        <w:jc w:val="left"/>
      </w:pPr>
      <w:r>
        <w:rPr>
          <w:rFonts w:ascii="Times New Roman" w:hAnsi="Times New Roman" w:eastAsia="Times New Roman"/>
        </w:rPr>
        <w:t xml:space="preserve">Slide 15: Closing</w:t>
      </w:r>
    </w:p>
    <w:p>
      <w:pPr>
        <w:pStyle w:val="Compact"/>
        <w:numPr>
          <w:ilvl w:val="0"/>
          <w:numId w:val="101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Final contribution summary</w:t>
      </w:r>
    </w:p>
    <w:p>
      <w:pPr>
        <w:pStyle w:val="Compact"/>
        <w:numPr>
          <w:ilvl w:val="0"/>
          <w:numId w:val="101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Thank the audience</w:t>
      </w:r>
    </w:p>
    <w:p>
      <w:pPr>
        <w:pStyle w:val="Compact"/>
        <w:numPr>
          <w:ilvl w:val="0"/>
          <w:numId w:val="1015"/>
        </w:numPr>
        <w:spacing w:line="360" w:lineRule="auto" w:after="120"/>
        <w:jc w:val="both"/>
      </w:pPr>
      <w:r>
        <w:rPr>
          <w:rFonts w:ascii="Times New Roman" w:hAnsi="Times New Roman" w:eastAsia="Times New Roman"/>
          <w:sz w:val="24"/>
        </w:rPr>
        <w:t xml:space="preserve">Invite questions</w:t>
      </w:r>
    </w:p>
    <w:bookmarkEnd w:id="23"/>
    <w:bookmarkEnd w:id="24"/>
    <w:sectPr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2026-04-18T13:58:54Z</dcterms:created>
  <dcterms:modified xsi:type="dcterms:W3CDTF">2026-04-18T13:58:54Z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