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Product Requirements Document (PRD): Lekh.ai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Executive Summary</w:t>
      </w:r>
      <w:r w:rsidDel="00000000" w:rsidR="00000000" w:rsidRPr="00000000">
        <w:rPr>
          <w:rFonts w:ascii="Google Sans Text" w:cs="Google Sans Text" w:eastAsia="Google Sans Text" w:hAnsi="Google Sans Text"/>
          <w:color w:val="1f1f1f"/>
          <w:shd w:fill="f0f4f9" w:val="clear"/>
          <w:rtl w:val="0"/>
        </w:rPr>
        <w:t xml:space="preserve">  </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Lekh.ai is a specialized B2B SaaS platform that automates the generation of agency‑grade Bengali advertisement scripts. Utilizing a proprietary hybrid architecture—combining a fine‑tuned 1.5B structural engine with a Retrieval‑Augmented Generation (RAG) pipeline—it solves the problem of generic, culturally disconnected AI copywriting.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The primary value proposition is delivering high‑fidelity, storyboard‑ready scripts that require zero structural editing, reducing creative block and saving agencies thousands of hours. Lekh.ai targets creative agencies, digital marketers, and copywriters operating in the Bangladeshi market.</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Key Differentiator:</w:t>
      </w:r>
      <w:r w:rsidDel="00000000" w:rsidR="00000000" w:rsidRPr="00000000">
        <w:rPr>
          <w:rFonts w:ascii="Google Sans Text" w:cs="Google Sans Text" w:eastAsia="Google Sans Text" w:hAnsi="Google Sans Text"/>
          <w:color w:val="1f1f1f"/>
          <w:shd w:fill="f0f4f9" w:val="clear"/>
          <w:rtl w:val="0"/>
        </w:rPr>
        <w:t xml:space="preserve"> Lekh.ai is the only Bengali‑first ad script generator that guarantees agency‑standard formatting and cultural nuance by referencing real‑world, localized ad datasets rather than relying on generalized LLM outputs.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Current Situation</w:t>
      </w:r>
      <w:r w:rsidDel="00000000" w:rsidR="00000000" w:rsidRPr="00000000">
        <w:rPr>
          <w:rFonts w:ascii="Google Sans Text" w:cs="Google Sans Text" w:eastAsia="Google Sans Text" w:hAnsi="Google Sans Text"/>
          <w:color w:val="1f1f1f"/>
          <w:shd w:fill="f0f4f9" w:val="clear"/>
          <w:rtl w:val="0"/>
        </w:rPr>
        <w:t xml:space="preserve">  </w:t>
      </w:r>
    </w:p>
    <w:p w:rsidR="00000000" w:rsidDel="00000000" w:rsidP="00000000" w:rsidRDefault="00000000" w:rsidRPr="00000000" w14:paraId="00000007">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In the Bangladeshi advertising ecosystem, creative teams and digital marketers heavily rely on generalist tools like ChatGPT for ideation and scriptwriting. When a brief arrives, junior copywriters spend hours attempting to engineer prompts to extract culturally accurate Bengali dialogue.</w:t>
      </w:r>
    </w:p>
    <w:p w:rsidR="00000000" w:rsidDel="00000000" w:rsidP="00000000" w:rsidRDefault="00000000" w:rsidRPr="00000000" w14:paraId="00000008">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The current challenges revolve around the outputs being overly formal, lacking local flavor, and completely missing industry‑standard structural formats (such as separating audio from visual cues). Users currently solve this by using AI merely as a brainstorming tool and manually rewriting 80% of the script to make it “shoot‑ready.”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Problem Statement</w:t>
      </w:r>
      <w:r w:rsidDel="00000000" w:rsidR="00000000" w:rsidRPr="00000000">
        <w:rPr>
          <w:rFonts w:ascii="Google Sans Text" w:cs="Google Sans Text" w:eastAsia="Google Sans Text" w:hAnsi="Google Sans Text"/>
          <w:color w:val="1f1f1f"/>
          <w:shd w:fill="f0f4f9" w:val="clear"/>
          <w:rtl w:val="0"/>
        </w:rPr>
        <w:t xml:space="preserve">  </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Existing AI copywriting tools are generalists; they know everything but master nothing, especially concerning the Bengali language and localized marketing objectives. Lekh.ai specifically solves the “Blank Page Syndrome” and the “Robotic Translation” issues that plague current workflows.</w:t>
      </w:r>
    </w:p>
    <w:p w:rsidR="00000000" w:rsidDel="00000000" w:rsidP="00000000" w:rsidRDefault="00000000" w:rsidRPr="00000000" w14:paraId="0000000B">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This matters because agencies are wasting significant billable hours turning generic text into professional, tabulated scripts. The quantifiable impact is the loss of 3–4 hours per script in heavy editing. A major technical friction point is that general LLMs fail to consistently output the complex multi‑column tables required for TVC and digital video ad briefs. This hidden inefficiency means agencies cannot scale their creative output during high‑demand seasons.</w:t>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Competitive Analysis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00D">
      <w:pPr>
        <w:spacing w:line="275.9999942779541" w:lineRule="auto"/>
        <w:rPr>
          <w:rFonts w:ascii="Google Sans Text" w:cs="Google Sans Text" w:eastAsia="Google Sans Text" w:hAnsi="Google Sans Text"/>
          <w:color w:val="1f1f1f"/>
          <w:shd w:fill="f0f4f9" w:val="clea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1.1483253588517"/>
        <w:gridCol w:w="4020.6698564593303"/>
        <w:gridCol w:w="3498.181818181818"/>
        <w:tblGridChange w:id="0">
          <w:tblGrid>
            <w:gridCol w:w="1841.1483253588517"/>
            <w:gridCol w:w="4020.6698564593303"/>
            <w:gridCol w:w="3498.18181818181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75.9999942779541" w:lineRule="auto"/>
              <w:jc w:val="center"/>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Competitor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75.9999942779541" w:lineRule="auto"/>
              <w:jc w:val="center"/>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Core Approach / 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75.9999942779541" w:lineRule="auto"/>
              <w:jc w:val="center"/>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3 Key Ways Lekh.ai Differentiates &amp; Defends</w:t>
            </w:r>
            <w:r w:rsidDel="00000000" w:rsidR="00000000" w:rsidRPr="00000000">
              <w:rPr>
                <w:rtl w:val="0"/>
              </w:rPr>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1. Writebd.com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Localized Bangla AI writer. Limitation: Often functions as a generic wrapper without structural formatting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Outputs agency‑ready tabular formatting automatically.</w:t>
            </w:r>
          </w:p>
          <w:p w:rsidR="00000000" w:rsidDel="00000000" w:rsidP="00000000" w:rsidRDefault="00000000" w:rsidRPr="00000000" w14:paraId="00000014">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Hybrid RAG architecture ensures scripts match real‑world agency styles.</w:t>
            </w:r>
          </w:p>
          <w:p w:rsidR="00000000" w:rsidDel="00000000" w:rsidP="00000000" w:rsidRDefault="00000000" w:rsidRPr="00000000" w14:paraId="00000015">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Strict Tone/Industry control logic prevents hallucinated formats.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2. Admaker.ai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Focuses on Video/UGC asset generation from URLs. Limitation: Lacks deep regional language scripting capabilities.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Hyper‑focused on the </w:t>
            </w:r>
            <w:r w:rsidDel="00000000" w:rsidR="00000000" w:rsidRPr="00000000">
              <w:rPr>
                <w:rFonts w:ascii="Google Sans Text" w:cs="Google Sans Text" w:eastAsia="Google Sans Text" w:hAnsi="Google Sans Text"/>
                <w:i w:val="1"/>
                <w:iCs w:val="1"/>
                <w:color w:val="1f1f1f"/>
                <w:shd w:fill="f0f4f9" w:val="clear"/>
                <w:rtl w:val="0"/>
              </w:rPr>
              <w:t xml:space="preserve">scriptwriting</w:t>
            </w:r>
            <w:r w:rsidDel="00000000" w:rsidR="00000000" w:rsidRPr="00000000">
              <w:rPr>
                <w:rFonts w:ascii="Google Sans Text" w:cs="Google Sans Text" w:eastAsia="Google Sans Text" w:hAnsi="Google Sans Text"/>
                <w:color w:val="1f1f1f"/>
                <w:shd w:fill="f0f4f9" w:val="clear"/>
                <w:rtl w:val="0"/>
              </w:rPr>
              <w:t xml:space="preserve"> phase rather than visual asset generation.</w:t>
            </w:r>
          </w:p>
          <w:p w:rsidR="00000000" w:rsidDel="00000000" w:rsidP="00000000" w:rsidRDefault="00000000" w:rsidRPr="00000000" w14:paraId="00000019">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Deep, native Bengali cultural nuance and slang.</w:t>
            </w:r>
          </w:p>
          <w:p w:rsidR="00000000" w:rsidDel="00000000" w:rsidP="00000000" w:rsidRDefault="00000000" w:rsidRPr="00000000" w14:paraId="0000001A">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Zero visual‑rendering latency; instantaneous text generation.</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3. ChatGPT (OpenAI)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General‑purpose LLM. Limitation: Highly generic Bengali; requires extensive prompt engineering for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Zero prompt engineering required by the user.</w:t>
            </w:r>
          </w:p>
          <w:p w:rsidR="00000000" w:rsidDel="00000000" w:rsidP="00000000" w:rsidRDefault="00000000" w:rsidRPr="00000000" w14:paraId="0000001E">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Proprietary Bengali ad dataset (RAG) acts as a stylistic anchor.</w:t>
            </w:r>
          </w:p>
          <w:p w:rsidR="00000000" w:rsidDel="00000000" w:rsidP="00000000" w:rsidRDefault="00000000" w:rsidRPr="00000000" w14:paraId="0000001F">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Guaranteed specialized TVC/OVC markdown output every time.</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4. AdCreative.ai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Automated visual banners and creatives. Limitation: Focuses on static images and short English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Focuses on long‑form, cinematic narrative scripting.</w:t>
            </w:r>
          </w:p>
          <w:p w:rsidR="00000000" w:rsidDel="00000000" w:rsidP="00000000" w:rsidRDefault="00000000" w:rsidRPr="00000000" w14:paraId="00000023">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Tailored for the Bangladeshi FMCG/Corporate market.</w:t>
            </w:r>
          </w:p>
          <w:p w:rsidR="00000000" w:rsidDel="00000000" w:rsidP="00000000" w:rsidRDefault="00000000" w:rsidRPr="00000000" w14:paraId="00000024">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Produces multi‑scene storyboard tables, not single‑frame copy.</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5. Canva Grow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Visual AI ad generator. Limitation: Primarily a design tool; the AI copy is secondary and generic.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Text‑first approach for scriptwriters and creative directors.</w:t>
            </w:r>
          </w:p>
          <w:p w:rsidR="00000000" w:rsidDel="00000000" w:rsidP="00000000" w:rsidRDefault="00000000" w:rsidRPr="00000000" w14:paraId="00000028">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Native Bengali linguistic superiority.</w:t>
            </w:r>
          </w:p>
          <w:p w:rsidR="00000000" w:rsidDel="00000000" w:rsidP="00000000" w:rsidRDefault="00000000" w:rsidRPr="00000000" w14:paraId="00000029">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Clean text export (Word/Markdown) integration.</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6. Invideo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Text‑to‑Video Ad Maker. Limitation: Struggles with high‑quality localized voiceovers and culturally relevant stock footage.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Focuses purely on providing the perfect script for </w:t>
            </w:r>
            <w:r w:rsidDel="00000000" w:rsidR="00000000" w:rsidRPr="00000000">
              <w:rPr>
                <w:rFonts w:ascii="Google Sans Text" w:cs="Google Sans Text" w:eastAsia="Google Sans Text" w:hAnsi="Google Sans Text"/>
                <w:i w:val="1"/>
                <w:iCs w:val="1"/>
                <w:color w:val="1f1f1f"/>
                <w:shd w:fill="f0f4f9" w:val="clear"/>
                <w:rtl w:val="0"/>
              </w:rPr>
              <w:t xml:space="preserve">real</w:t>
            </w:r>
            <w:r w:rsidDel="00000000" w:rsidR="00000000" w:rsidRPr="00000000">
              <w:rPr>
                <w:rFonts w:ascii="Google Sans Text" w:cs="Google Sans Text" w:eastAsia="Google Sans Text" w:hAnsi="Google Sans Text"/>
                <w:color w:val="1f1f1f"/>
                <w:shd w:fill="f0f4f9" w:val="clear"/>
                <w:rtl w:val="0"/>
              </w:rPr>
              <w:t xml:space="preserve"> actors and directors.</w:t>
            </w:r>
          </w:p>
          <w:p w:rsidR="00000000" w:rsidDel="00000000" w:rsidP="00000000" w:rsidRDefault="00000000" w:rsidRPr="00000000" w14:paraId="0000002D">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Understands local industry jargon (e.g., MFS, local real estate).</w:t>
            </w:r>
          </w:p>
          <w:p w:rsidR="00000000" w:rsidDel="00000000" w:rsidP="00000000" w:rsidRDefault="00000000" w:rsidRPr="00000000" w14:paraId="0000002E">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Lower computing cost, allowing for higher generation volume.</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7. Picsart Admaker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Visual/Banner Ad Generator. Limitation: Similar to Canva; text generation is 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Deep narrative generation (60‑90 second scripts).</w:t>
            </w:r>
          </w:p>
          <w:p w:rsidR="00000000" w:rsidDel="00000000" w:rsidP="00000000" w:rsidRDefault="00000000" w:rsidRPr="00000000" w14:paraId="00000032">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Incorporates specific emotional tones (e.g., Warm &amp; Nostalgic for local paint brands).</w:t>
            </w:r>
          </w:p>
          <w:p w:rsidR="00000000" w:rsidDel="00000000" w:rsidP="00000000" w:rsidRDefault="00000000" w:rsidRPr="00000000" w14:paraId="00000033">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Direct Markdown‑to‑table UI display.</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8. Copy.ai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General Copywriting API/App. Limitation: English‑first optimization; lacks structural ad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Built entirely around the TVC/OVC tabular format.</w:t>
            </w:r>
          </w:p>
          <w:p w:rsidR="00000000" w:rsidDel="00000000" w:rsidP="00000000" w:rsidRDefault="00000000" w:rsidRPr="00000000" w14:paraId="00000037">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RAG pipeline specifically trained on successful Bangladeshi campaigns.</w:t>
            </w:r>
          </w:p>
          <w:p w:rsidR="00000000" w:rsidDel="00000000" w:rsidP="00000000" w:rsidRDefault="00000000" w:rsidRPr="00000000" w14:paraId="00000038">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Simpler, highly constrained UI (Tone/Industry limits) to prevent user error.</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9. Writesonic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SEO/Copy AI. Limitation: Optimized for blogs and web copy, not dramatic video scripts.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Understands audio vs. visual scene breakdowns.</w:t>
            </w:r>
          </w:p>
          <w:p w:rsidR="00000000" w:rsidDel="00000000" w:rsidP="00000000" w:rsidRDefault="00000000" w:rsidRPr="00000000" w14:paraId="0000003C">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Specializes in conversational, spoken‑word Bengali.</w:t>
            </w:r>
          </w:p>
          <w:p w:rsidR="00000000" w:rsidDel="00000000" w:rsidP="00000000" w:rsidRDefault="00000000" w:rsidRPr="00000000" w14:paraId="0000003D">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One‑click Word document export tailored for agency pitches.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10. QuickAds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Template‑based visual generator. Limitation: Rigid templates; poor non‑English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1. Infinite script variability based on the hybrid model engine.</w:t>
            </w:r>
          </w:p>
          <w:p w:rsidR="00000000" w:rsidDel="00000000" w:rsidP="00000000" w:rsidRDefault="00000000" w:rsidRPr="00000000" w14:paraId="00000041">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2. Flawless Bengali character rendering and typography support.</w:t>
            </w:r>
          </w:p>
          <w:p w:rsidR="00000000" w:rsidDel="00000000" w:rsidP="00000000" w:rsidRDefault="00000000" w:rsidRPr="00000000" w14:paraId="00000042">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3. "Sutro" (formula) driven logic for specific industries.</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br w:type="textWrapping"/>
        <w:br w:type="textWrapping"/>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Solution Overview</w:t>
      </w:r>
      <w:r w:rsidDel="00000000" w:rsidR="00000000" w:rsidRPr="00000000">
        <w:rPr>
          <w:rFonts w:ascii="Google Sans Text" w:cs="Google Sans Text" w:eastAsia="Google Sans Text" w:hAnsi="Google Sans Text"/>
          <w:color w:val="1f1f1f"/>
          <w:shd w:fill="f0f4f9" w:val="clear"/>
          <w:rtl w:val="0"/>
        </w:rPr>
        <w:t xml:space="preserve">  </w:t>
      </w:r>
    </w:p>
    <w:p w:rsidR="00000000" w:rsidDel="00000000" w:rsidP="00000000" w:rsidRDefault="00000000" w:rsidRPr="00000000" w14:paraId="00000045">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Core Functionality (V0/MVP):</w:t>
      </w:r>
      <w:r w:rsidDel="00000000" w:rsidR="00000000" w:rsidRPr="00000000">
        <w:rPr>
          <w:rFonts w:ascii="Google Sans Text" w:cs="Google Sans Text" w:eastAsia="Google Sans Text" w:hAnsi="Google Sans Text"/>
          <w:color w:val="1f1f1f"/>
          <w:shd w:fill="f0f4f9" w:val="clear"/>
          <w:rtl w:val="0"/>
        </w:rPr>
        <w:t xml:space="preserve"> A streamlined web interface featuring a primary prompt textbox. On the right, two dropdown menus govern the output: a “Tone” selector (9 options, max 2 selections enforced with error handling) and an “Industry” selector (10 options, strict 1 selection). A “Generate” button triggers a dynamic, text‑shifting loading state. The output is delivered in a rich‑text box supporting Markdown (tables, bold, italics), complete with hover‑reveal export icons (Copy, Copy as Markdown, Download as Word).</w:t>
      </w:r>
    </w:p>
    <w:p w:rsidR="00000000" w:rsidDel="00000000" w:rsidP="00000000" w:rsidRDefault="00000000" w:rsidRPr="00000000" w14:paraId="00000046">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Future Roadmap:</w:t>
      </w:r>
    </w:p>
    <w:p w:rsidR="00000000" w:rsidDel="00000000" w:rsidP="00000000" w:rsidRDefault="00000000" w:rsidRPr="00000000" w14:paraId="00000047">
      <w:pPr>
        <w:numPr>
          <w:ilvl w:val="0"/>
          <w:numId w:val="4"/>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V1: User accounts, Supabase history tracking, and saved brand personas.</w:t>
      </w:r>
    </w:p>
    <w:p w:rsidR="00000000" w:rsidDel="00000000" w:rsidP="00000000" w:rsidRDefault="00000000" w:rsidRPr="00000000" w14:paraId="00000048">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V2: Team workspaces for agencies and direct Figma integrations.</w:t>
      </w:r>
    </w:p>
    <w:p w:rsidR="00000000" w:rsidDel="00000000" w:rsidP="00000000" w:rsidRDefault="00000000" w:rsidRPr="00000000" w14:paraId="00000049">
      <w:pPr>
        <w:numPr>
          <w:ilvl w:val="0"/>
          <w:numId w:val="4"/>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V3+: Automated A/B testing variations and AI audio‑voiceover previews.</w:t>
      </w:r>
    </w:p>
    <w:p w:rsidR="00000000" w:rsidDel="00000000" w:rsidP="00000000" w:rsidRDefault="00000000" w:rsidRPr="00000000" w14:paraId="0000004A">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Technical Approach:</w:t>
      </w:r>
      <w:r w:rsidDel="00000000" w:rsidR="00000000" w:rsidRPr="00000000">
        <w:rPr>
          <w:rFonts w:ascii="Google Sans Text" w:cs="Google Sans Text" w:eastAsia="Google Sans Text" w:hAnsi="Google Sans Text"/>
          <w:color w:val="1f1f1f"/>
          <w:shd w:fill="f0f4f9" w:val="clear"/>
          <w:rtl w:val="0"/>
        </w:rPr>
        <w:t xml:space="preserve"> A Multi‑Source Fusion System. The UI communicates with a backend where a localized RAG system retrieves a relevant script from a shared dataset based on the selected Industry. This is fed alongside the prompt into a fine‑tuned LLM model orchestration layer, marrying structural integrity with advanced linguistic generation.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Target Audience</w:t>
      </w:r>
      <w:r w:rsidDel="00000000" w:rsidR="00000000" w:rsidRPr="00000000">
        <w:rPr>
          <w:rFonts w:ascii="Google Sans Text" w:cs="Google Sans Text" w:eastAsia="Google Sans Text" w:hAnsi="Google Sans Text"/>
          <w:color w:val="1f1f1f"/>
          <w:shd w:fill="f0f4f9" w:val="clear"/>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Primary Persona:</w:t>
      </w:r>
      <w:r w:rsidDel="00000000" w:rsidR="00000000" w:rsidRPr="00000000">
        <w:rPr>
          <w:rFonts w:ascii="Google Sans Text" w:cs="Google Sans Text" w:eastAsia="Google Sans Text" w:hAnsi="Google Sans Text"/>
          <w:color w:val="1f1f1f"/>
          <w:shd w:fill="f0f4f9" w:val="clear"/>
          <w:rtl w:val="0"/>
        </w:rPr>
        <w:t xml:space="preserve"> Agency Copywriters &amp; Creative Directors. They are time‑poor, highly critical of generic AI text, and require precise storyboard formatting.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Secondary Persona:</w:t>
      </w:r>
      <w:r w:rsidDel="00000000" w:rsidR="00000000" w:rsidRPr="00000000">
        <w:rPr>
          <w:rFonts w:ascii="Google Sans Text" w:cs="Google Sans Text" w:eastAsia="Google Sans Text" w:hAnsi="Google Sans Text"/>
          <w:color w:val="1f1f1f"/>
          <w:shd w:fill="f0f4f9" w:val="clear"/>
          <w:rtl w:val="0"/>
        </w:rPr>
        <w:t xml:space="preserve"> Freelance Marketers &amp; SME Owners running digital ads who need professional ideas quickly.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User Journey:</w:t>
      </w:r>
      <w:r w:rsidDel="00000000" w:rsidR="00000000" w:rsidRPr="00000000">
        <w:rPr>
          <w:rFonts w:ascii="Google Sans Text" w:cs="Google Sans Text" w:eastAsia="Google Sans Text" w:hAnsi="Google Sans Text"/>
          <w:color w:val="1f1f1f"/>
          <w:shd w:fill="f0f4f9" w:val="clear"/>
          <w:rtl w:val="0"/>
        </w:rPr>
        <w:t xml:space="preserve"> Receives client brief → Enters core idea into Lekh.ai → Selects Tone/Industry → Copies the tabulated script directly into their pitch deck → Modifies 10% of the text → Delivers to client.</w:t>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Pain Points Addressed:</w:t>
      </w:r>
      <w:r w:rsidDel="00000000" w:rsidR="00000000" w:rsidRPr="00000000">
        <w:rPr>
          <w:rFonts w:ascii="Google Sans Text" w:cs="Google Sans Text" w:eastAsia="Google Sans Text" w:hAnsi="Google Sans Text"/>
          <w:color w:val="1f1f1f"/>
          <w:shd w:fill="f0f4f9" w:val="clear"/>
          <w:rtl w:val="0"/>
        </w:rPr>
        <w:t xml:space="preserve"> Eliminates the 3‑hour structural drafting phase; cures “writer’s block.”</w:t>
      </w:r>
    </w:p>
    <w:p w:rsidR="00000000" w:rsidDel="00000000" w:rsidP="00000000" w:rsidRDefault="00000000" w:rsidRPr="00000000" w14:paraId="00000050">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Success Metrics</w:t>
      </w:r>
    </w:p>
    <w:p w:rsidR="00000000" w:rsidDel="00000000" w:rsidP="00000000" w:rsidRDefault="00000000" w:rsidRPr="00000000" w14:paraId="00000051">
      <w:pPr>
        <w:numPr>
          <w:ilvl w:val="0"/>
          <w:numId w:val="8"/>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Growth: Monthly Active Users (MAU), total scripts generated per week.</w:t>
      </w:r>
    </w:p>
    <w:p w:rsidR="00000000" w:rsidDel="00000000" w:rsidP="00000000" w:rsidRDefault="00000000" w:rsidRPr="00000000" w14:paraId="00000052">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Product Health: Generation Completion Rate (minimizing API timeouts), error rates on Tone/Industry boundary enforcement.</w:t>
      </w:r>
    </w:p>
    <w:p w:rsidR="00000000" w:rsidDel="00000000" w:rsidP="00000000" w:rsidRDefault="00000000" w:rsidRPr="00000000" w14:paraId="00000053">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User Experience: The “Export/Copy” rate per generation. (If a user generates a script and clicks “Copy,” the generation was successful).</w:t>
      </w:r>
    </w:p>
    <w:p w:rsidR="00000000" w:rsidDel="00000000" w:rsidP="00000000" w:rsidRDefault="00000000" w:rsidRPr="00000000" w14:paraId="00000054">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Business Impact: Time‑to‑first‑draft reduction.</w:t>
      </w:r>
    </w:p>
    <w:p w:rsidR="00000000" w:rsidDel="00000000" w:rsidP="00000000" w:rsidRDefault="00000000" w:rsidRPr="00000000" w14:paraId="00000055">
      <w:pPr>
        <w:numPr>
          <w:ilvl w:val="0"/>
          <w:numId w:val="8"/>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Product‑Market Fit: Retention rate of agency users after the first 30 days.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Pricing Strategy</w:t>
      </w:r>
      <w:r w:rsidDel="00000000" w:rsidR="00000000" w:rsidRPr="00000000">
        <w:rPr>
          <w:rFonts w:ascii="Google Sans Text" w:cs="Google Sans Text" w:eastAsia="Google Sans Text" w:hAnsi="Google Sans Text"/>
          <w:color w:val="1f1f1f"/>
          <w:shd w:fill="f0f4f9" w:val="clear"/>
          <w:rtl w:val="0"/>
        </w:rPr>
        <w:t xml:space="preserve">  </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Freemium Model:</w:t>
      </w:r>
    </w:p>
    <w:p w:rsidR="00000000" w:rsidDel="00000000" w:rsidP="00000000" w:rsidRDefault="00000000" w:rsidRPr="00000000" w14:paraId="00000058">
      <w:pPr>
        <w:numPr>
          <w:ilvl w:val="0"/>
          <w:numId w:val="2"/>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Basic: 5 generations/month. Access to 3 tones/3 industries. Target: Students, freelancers.</w:t>
      </w:r>
    </w:p>
    <w:p w:rsidR="00000000" w:rsidDel="00000000" w:rsidP="00000000" w:rsidRDefault="00000000" w:rsidRPr="00000000" w14:paraId="00000059">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Pro Tier ($15/month): Unlimited generations, full access to all dropdown parameters, Word export. Target: Individual copywriters.</w:t>
      </w:r>
    </w:p>
    <w:p w:rsidR="00000000" w:rsidDel="00000000" w:rsidP="00000000" w:rsidRDefault="00000000" w:rsidRPr="00000000" w14:paraId="0000005A">
      <w:pPr>
        <w:numPr>
          <w:ilvl w:val="0"/>
          <w:numId w:val="2"/>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Enterprise: Custom pricing. Includes custom RAG integration (training the vector database on the agency’s own historical scripts). Target: Agencies.</w:t>
      </w:r>
    </w:p>
    <w:p w:rsidR="00000000" w:rsidDel="00000000" w:rsidP="00000000" w:rsidRDefault="00000000" w:rsidRPr="00000000" w14:paraId="0000005B">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Distribution Strategy</w:t>
      </w:r>
    </w:p>
    <w:p w:rsidR="00000000" w:rsidDel="00000000" w:rsidP="00000000" w:rsidRDefault="00000000" w:rsidRPr="00000000" w14:paraId="0000005C">
      <w:pPr>
        <w:numPr>
          <w:ilvl w:val="0"/>
          <w:numId w:val="7"/>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Go‑to‑Market: Direct B2B outreach to agency executives and operations directors.</w:t>
      </w:r>
    </w:p>
    <w:p w:rsidR="00000000" w:rsidDel="00000000" w:rsidP="00000000" w:rsidRDefault="00000000" w:rsidRPr="00000000" w14:paraId="0000005D">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Marketing Channels: LinkedIn (targeting advertising professionals), specialized Facebook groups for marketers.</w:t>
      </w:r>
    </w:p>
    <w:p w:rsidR="00000000" w:rsidDel="00000000" w:rsidP="00000000" w:rsidRDefault="00000000" w:rsidRPr="00000000" w14:paraId="0000005E">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Partnerships: Exclusive beta access for select top‑tier marketing agencies to build compelling case studies on billable hours saved.</w:t>
      </w:r>
    </w:p>
    <w:p w:rsidR="00000000" w:rsidDel="00000000" w:rsidP="00000000" w:rsidRDefault="00000000" w:rsidRPr="00000000" w14:paraId="0000005F">
      <w:pPr>
        <w:numPr>
          <w:ilvl w:val="0"/>
          <w:numId w:val="7"/>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Growth Tactics: A subtle “Drafted by Lekh.ai” watermark on free‑tier Word document exports.</w:t>
      </w:r>
    </w:p>
    <w:p w:rsidR="00000000" w:rsidDel="00000000" w:rsidP="00000000" w:rsidRDefault="00000000" w:rsidRPr="00000000" w14:paraId="00000060">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Risks &amp; Mitigations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Technical Risk: Backend latency during the hybrid generation phase.</w:t>
      </w:r>
    </w:p>
    <w:p w:rsidR="00000000" w:rsidDel="00000000" w:rsidP="00000000" w:rsidRDefault="00000000" w:rsidRPr="00000000" w14:paraId="00000062">
      <w:pPr>
        <w:numPr>
          <w:ilvl w:val="0"/>
          <w:numId w:val="3"/>
        </w:numPr>
        <w:spacing w:after="24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1"/>
          <w:iCs w:val="1"/>
          <w:color w:val="1f1f1f"/>
          <w:shd w:fill="f0f4f9" w:val="clear"/>
          <w:rtl w:val="0"/>
        </w:rPr>
        <w:t xml:space="preserve">Mitigation:</w:t>
      </w:r>
      <w:r w:rsidDel="00000000" w:rsidR="00000000" w:rsidRPr="00000000">
        <w:rPr>
          <w:rFonts w:ascii="Google Sans Text" w:cs="Google Sans Text" w:eastAsia="Google Sans Text" w:hAnsi="Google Sans Text"/>
          <w:color w:val="1f1f1f"/>
          <w:shd w:fill="f0f4f9" w:val="clear"/>
          <w:rtl w:val="0"/>
        </w:rPr>
        <w:t xml:space="preserve"> The dynamic text‑shifting UI during generation explicitly masks this wait time, maintaining user engagement.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Market Risk: Resistance from traditional copywriters fearing job replacement.</w:t>
      </w:r>
    </w:p>
    <w:p w:rsidR="00000000" w:rsidDel="00000000" w:rsidP="00000000" w:rsidRDefault="00000000" w:rsidRPr="00000000" w14:paraId="00000064">
      <w:pPr>
        <w:numPr>
          <w:ilvl w:val="0"/>
          <w:numId w:val="3"/>
        </w:numPr>
        <w:spacing w:after="24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1"/>
          <w:iCs w:val="1"/>
          <w:color w:val="1f1f1f"/>
          <w:shd w:fill="f0f4f9" w:val="clear"/>
          <w:rtl w:val="0"/>
        </w:rPr>
        <w:t xml:space="preserve">Mitigation:</w:t>
      </w:r>
      <w:r w:rsidDel="00000000" w:rsidR="00000000" w:rsidRPr="00000000">
        <w:rPr>
          <w:rFonts w:ascii="Google Sans Text" w:cs="Google Sans Text" w:eastAsia="Google Sans Text" w:hAnsi="Google Sans Text"/>
          <w:color w:val="1f1f1f"/>
          <w:shd w:fill="f0f4f9" w:val="clear"/>
          <w:rtl w:val="0"/>
        </w:rPr>
        <w:t xml:space="preserve"> Position the tool strictly as a “Drafting Assistant” that removes the tedious formatting work, elevating the copywriter to an editor/director role.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Competitive Risk: General models drastically improving native Bengali output.</w:t>
      </w:r>
    </w:p>
    <w:p w:rsidR="00000000" w:rsidDel="00000000" w:rsidP="00000000" w:rsidRDefault="00000000" w:rsidRPr="00000000" w14:paraId="00000066">
      <w:pPr>
        <w:numPr>
          <w:ilvl w:val="0"/>
          <w:numId w:val="3"/>
        </w:numPr>
        <w:spacing w:after="24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1"/>
          <w:iCs w:val="1"/>
          <w:color w:val="1f1f1f"/>
          <w:shd w:fill="f0f4f9" w:val="clear"/>
          <w:rtl w:val="0"/>
        </w:rPr>
        <w:t xml:space="preserve">Mitigation:</w:t>
      </w:r>
      <w:r w:rsidDel="00000000" w:rsidR="00000000" w:rsidRPr="00000000">
        <w:rPr>
          <w:rFonts w:ascii="Google Sans Text" w:cs="Google Sans Text" w:eastAsia="Google Sans Text" w:hAnsi="Google Sans Text"/>
          <w:color w:val="1f1f1f"/>
          <w:shd w:fill="f0f4f9" w:val="clear"/>
          <w:rtl w:val="0"/>
        </w:rPr>
        <w:t xml:space="preserve"> The proprietary RAG dataset of specific agency formats creates a deep defensive moat that general models cannot easily replicate.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Design Systems</w:t>
      </w:r>
      <w:r w:rsidDel="00000000" w:rsidR="00000000" w:rsidRPr="00000000">
        <w:rPr>
          <w:rFonts w:ascii="Google Sans Text" w:cs="Google Sans Text" w:eastAsia="Google Sans Text" w:hAnsi="Google Sans Text"/>
          <w:color w:val="1f1f1f"/>
          <w:shd w:fill="f0f4f9" w:val="clear"/>
          <w:rtl w:val="0"/>
        </w:rPr>
        <w:t xml:space="preserve">  </w:t>
      </w:r>
    </w:p>
    <w:p w:rsidR="00000000" w:rsidDel="00000000" w:rsidP="00000000" w:rsidRDefault="00000000" w:rsidRPr="00000000" w14:paraId="00000068">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Visual Identity &amp; Brand Standards:</w:t>
      </w:r>
    </w:p>
    <w:p w:rsidR="00000000" w:rsidDel="00000000" w:rsidP="00000000" w:rsidRDefault="00000000" w:rsidRPr="00000000" w14:paraId="00000069">
      <w:pPr>
        <w:numPr>
          <w:ilvl w:val="0"/>
          <w:numId w:val="6"/>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Logo: A sleek, minimalist stylized pen nib featuring a four‑point curved star at the tip (symbolizing AI generation).</w:t>
      </w:r>
    </w:p>
    <w:p w:rsidR="00000000" w:rsidDel="00000000" w:rsidP="00000000" w:rsidRDefault="00000000" w:rsidRPr="00000000" w14:paraId="0000006A">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Colors: Primary Accent (Vibrant Crimson Red), Background (Clean White/Light Gray), Text (Deep Charcoal).</w:t>
      </w:r>
    </w:p>
    <w:p w:rsidR="00000000" w:rsidDel="00000000" w:rsidP="00000000" w:rsidRDefault="00000000" w:rsidRPr="00000000" w14:paraId="0000006B">
      <w:pPr>
        <w:numPr>
          <w:ilvl w:val="0"/>
          <w:numId w:val="6"/>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Typography: Inter for all UI elements (dropdowns, buttons). A highly legible Unicode Bengali font (e.g., Hind Siliguri or Kalpurush) specifically for the generated script output box.</w:t>
      </w:r>
    </w:p>
    <w:p w:rsidR="00000000" w:rsidDel="00000000" w:rsidP="00000000" w:rsidRDefault="00000000" w:rsidRPr="00000000" w14:paraId="0000006C">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UI Component Library:</w:t>
      </w:r>
    </w:p>
    <w:p w:rsidR="00000000" w:rsidDel="00000000" w:rsidP="00000000" w:rsidRDefault="00000000" w:rsidRPr="00000000" w14:paraId="0000006D">
      <w:pPr>
        <w:numPr>
          <w:ilvl w:val="0"/>
          <w:numId w:val="9"/>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Dropdowns: Must feature clear active states. Selecting a 3rd Tone triggers a smooth visual shake and a red warning border.</w:t>
      </w:r>
    </w:p>
    <w:p w:rsidR="00000000" w:rsidDel="00000000" w:rsidP="00000000" w:rsidRDefault="00000000" w:rsidRPr="00000000" w14:paraId="0000006E">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Buttons: The “Generate” button utilizes a primary solid state, shifting to a pulsing animation during processing.</w:t>
      </w:r>
    </w:p>
    <w:p w:rsidR="00000000" w:rsidDel="00000000" w:rsidP="00000000" w:rsidRDefault="00000000" w:rsidRPr="00000000" w14:paraId="0000006F">
      <w:pPr>
        <w:numPr>
          <w:ilvl w:val="0"/>
          <w:numId w:val="9"/>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Output Box: A distinct, elevated card container. Top‑right action icons (Copy, Markdown, Word) remain at 30% opacity until hovered over.</w:t>
      </w:r>
    </w:p>
    <w:p w:rsidR="00000000" w:rsidDel="00000000" w:rsidP="00000000" w:rsidRDefault="00000000" w:rsidRPr="00000000" w14:paraId="00000070">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Layout &amp; Spacing System:</w:t>
      </w:r>
    </w:p>
    <w:p w:rsidR="00000000" w:rsidDel="00000000" w:rsidP="00000000" w:rsidRDefault="00000000" w:rsidRPr="00000000" w14:paraId="00000071">
      <w:pPr>
        <w:numPr>
          <w:ilvl w:val="0"/>
          <w:numId w:val="10"/>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8pt grid system.</w:t>
      </w:r>
    </w:p>
    <w:p w:rsidR="00000000" w:rsidDel="00000000" w:rsidP="00000000" w:rsidRDefault="00000000" w:rsidRPr="00000000" w14:paraId="00000072">
      <w:pPr>
        <w:numPr>
          <w:ilvl w:val="0"/>
          <w:numId w:val="10"/>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Desktop features a clean split: Input controls heavily weighted to the left and top, with the Output box occupying the primary visual real estate. Smooth stacking for mobile responsiveness.</w:t>
      </w:r>
    </w:p>
    <w:p w:rsidR="00000000" w:rsidDel="00000000" w:rsidP="00000000" w:rsidRDefault="00000000" w:rsidRPr="00000000" w14:paraId="00000073">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Interaction Patterns &amp; Micro‑animations:</w:t>
      </w:r>
    </w:p>
    <w:p w:rsidR="00000000" w:rsidDel="00000000" w:rsidP="00000000" w:rsidRDefault="00000000" w:rsidRPr="00000000" w14:paraId="00000074">
      <w:pPr>
        <w:numPr>
          <w:ilvl w:val="0"/>
          <w:numId w:val="5"/>
        </w:numPr>
        <w:spacing w:after="24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The transition from clicking “Generate” to the result must feature a dynamic, skeletal text‑shifting animation (simulating AI “typing” or “thinking”) to manage expectations regarding backend processing time.</w:t>
      </w:r>
    </w:p>
    <w:p w:rsidR="00000000" w:rsidDel="00000000" w:rsidP="00000000" w:rsidRDefault="00000000" w:rsidRPr="00000000" w14:paraId="00000075">
      <w:pPr>
        <w:spacing w:after="240" w:before="240" w:line="275.9999942779541" w:lineRule="auto"/>
        <w:rPr>
          <w:rFonts w:ascii="Google Sans Text" w:cs="Google Sans Text" w:eastAsia="Google Sans Text" w:hAnsi="Google Sans Text"/>
          <w:b w:val="1"/>
          <w:bCs w:val="1"/>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Accessibility Standards:</w:t>
      </w:r>
    </w:p>
    <w:p w:rsidR="00000000" w:rsidDel="00000000" w:rsidP="00000000" w:rsidRDefault="00000000" w:rsidRPr="00000000" w14:paraId="00000076">
      <w:pPr>
        <w:numPr>
          <w:ilvl w:val="0"/>
          <w:numId w:val="1"/>
        </w:numPr>
        <w:spacing w:after="0" w:afterAutospacing="0" w:before="24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WCAG AA compliance for text contrast.</w:t>
      </w:r>
    </w:p>
    <w:p w:rsidR="00000000" w:rsidDel="00000000" w:rsidP="00000000" w:rsidRDefault="00000000" w:rsidRPr="00000000" w14:paraId="00000077">
      <w:pPr>
        <w:numPr>
          <w:ilvl w:val="0"/>
          <w:numId w:val="1"/>
        </w:numPr>
        <w:spacing w:after="240" w:before="0" w:beforeAutospacing="0" w:line="275.9999942779541" w:lineRule="auto"/>
        <w:ind w:left="720" w:hanging="360"/>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Full keyboard navigability for the Tone and Industry dropdowns.</w:t>
      </w:r>
    </w:p>
    <w:p w:rsidR="00000000" w:rsidDel="00000000" w:rsidP="00000000" w:rsidRDefault="00000000" w:rsidRPr="00000000" w14:paraId="00000078">
      <w:pPr>
        <w:spacing w:after="240" w:before="240"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b w:val="1"/>
          <w:bCs w:val="1"/>
          <w:color w:val="1f1f1f"/>
          <w:shd w:fill="f0f4f9" w:val="clear"/>
          <w:rtl w:val="0"/>
        </w:rPr>
        <w:t xml:space="preserve">Documentation:</w:t>
      </w:r>
      <w:r w:rsidDel="00000000" w:rsidR="00000000" w:rsidRPr="00000000">
        <w:rPr>
          <w:rFonts w:ascii="Google Sans Text" w:cs="Google Sans Text" w:eastAsia="Google Sans Text" w:hAnsi="Google Sans Text"/>
          <w:color w:val="1f1f1f"/>
          <w:shd w:fill="f0f4f9" w:val="clear"/>
          <w:rtl w:val="0"/>
        </w:rPr>
        <w:t xml:space="preserve"> Maintain a component library for the frontend handoff, ensuring strict naming conventions for the API calls between the UI and the hybrid backend.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