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Cs/>
        </w:rPr>
      </w:pPr>
      <w:bookmarkStart w:id="1" w:name="_GoBack"/>
      <w:bookmarkEnd w:id="1"/>
      <w:r>
        <w:rPr>
          <w:rFonts w:hint="eastAsia" w:ascii="Times New Roman" w:hAnsi="Times New Roman" w:cs="Times New Roman"/>
          <w:bCs/>
        </w:rPr>
        <w:drawing>
          <wp:inline distT="0" distB="0" distL="114300" distR="114300">
            <wp:extent cx="4161155" cy="3418205"/>
            <wp:effectExtent l="0" t="0" r="4445" b="10795"/>
            <wp:docPr id="1" name="图片 1" descr="Flow v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low vs P"/>
                    <pic:cNvPicPr>
                      <a:picLocks noChangeAspect="1"/>
                    </pic:cNvPicPr>
                  </pic:nvPicPr>
                  <pic:blipFill>
                    <a:blip r:embed="rId4"/>
                    <a:srcRect l="9416" t="9017" r="11680" b="6279"/>
                    <a:stretch>
                      <a:fillRect/>
                    </a:stretch>
                  </pic:blipFill>
                  <pic:spPr>
                    <a:xfrm>
                      <a:off x="0" y="0"/>
                      <a:ext cx="4161155" cy="3418205"/>
                    </a:xfrm>
                    <a:prstGeom prst="rect">
                      <a:avLst/>
                    </a:prstGeom>
                  </pic:spPr>
                </pic:pic>
              </a:graphicData>
            </a:graphic>
          </wp:inline>
        </w:drawing>
      </w:r>
    </w:p>
    <w:p>
      <w:pPr>
        <w:rPr>
          <w:rFonts w:ascii="Times New Roman" w:hAnsi="Times New Roman" w:cs="Times New Roman"/>
          <w:bCs/>
        </w:rPr>
      </w:pPr>
    </w:p>
    <w:p>
      <w:pPr>
        <w:spacing w:line="360" w:lineRule="auto"/>
        <w:rPr>
          <w:rStyle w:val="8"/>
          <w:rFonts w:hint="eastAsia" w:ascii="Times New Roman" w:hAnsi="Times New Roman" w:eastAsiaTheme="minorEastAsia"/>
          <w:sz w:val="22"/>
          <w:lang w:val="en-US" w:eastAsia="zh-CN"/>
        </w:rPr>
      </w:pPr>
      <w:r>
        <w:rPr>
          <w:rStyle w:val="8"/>
          <w:rFonts w:hint="eastAsia" w:ascii="Times New Roman" w:hAnsi="Times New Roman"/>
          <w:b/>
          <w:bCs/>
          <w:sz w:val="22"/>
          <w:lang w:val="en-US" w:eastAsia="zh-CN"/>
        </w:rPr>
        <w:t xml:space="preserve">Figure </w:t>
      </w:r>
      <w:r>
        <w:rPr>
          <w:rStyle w:val="8"/>
          <w:rFonts w:hint="eastAsia" w:ascii="Times New Roman" w:hAnsi="Times New Roman"/>
          <w:b/>
          <w:bCs/>
          <w:sz w:val="22"/>
        </w:rPr>
        <w:t>S1.</w:t>
      </w:r>
      <w:bookmarkStart w:id="0" w:name="OLE_LINK2"/>
      <w:r>
        <w:rPr>
          <w:rStyle w:val="8"/>
          <w:rFonts w:hint="eastAsia" w:ascii="Times New Roman" w:hAnsi="Times New Roman"/>
          <w:sz w:val="22"/>
          <w:lang w:val="en-US" w:eastAsia="zh-CN"/>
        </w:rPr>
        <w:t xml:space="preserve"> </w:t>
      </w:r>
      <w:r>
        <w:rPr>
          <w:rStyle w:val="8"/>
          <w:rFonts w:hint="eastAsia" w:ascii="Times New Roman" w:hAnsi="Times New Roman"/>
          <w:sz w:val="22"/>
        </w:rPr>
        <w:t>W</w:t>
      </w:r>
      <w:r>
        <w:rPr>
          <w:rStyle w:val="8"/>
          <w:rFonts w:ascii="Times New Roman" w:hAnsi="Times New Roman"/>
          <w:sz w:val="22"/>
        </w:rPr>
        <w:t xml:space="preserve">e used the pressure of the optical cavity to identify </w:t>
      </w:r>
      <w:r>
        <w:rPr>
          <w:rStyle w:val="8"/>
          <w:rFonts w:hint="eastAsia" w:ascii="Times New Roman" w:hAnsi="Times New Roman"/>
          <w:sz w:val="22"/>
        </w:rPr>
        <w:t xml:space="preserve">periods </w:t>
      </w:r>
      <w:r>
        <w:rPr>
          <w:rStyle w:val="8"/>
          <w:rFonts w:ascii="Times New Roman" w:hAnsi="Times New Roman"/>
          <w:sz w:val="22"/>
        </w:rPr>
        <w:t xml:space="preserve">where </w:t>
      </w:r>
      <w:r>
        <w:rPr>
          <w:rStyle w:val="8"/>
          <w:rFonts w:hint="eastAsia" w:ascii="Times New Roman" w:hAnsi="Times New Roman"/>
          <w:sz w:val="22"/>
          <w:lang w:val="en-US" w:eastAsia="zh-CN"/>
        </w:rPr>
        <w:t xml:space="preserve">nearly </w:t>
      </w:r>
      <w:r>
        <w:rPr>
          <w:rStyle w:val="8"/>
          <w:rFonts w:ascii="Times New Roman" w:hAnsi="Times New Roman"/>
          <w:sz w:val="22"/>
        </w:rPr>
        <w:t xml:space="preserve">no gas </w:t>
      </w:r>
      <w:r>
        <w:rPr>
          <w:rStyle w:val="8"/>
          <w:rFonts w:hint="eastAsia" w:ascii="Times New Roman" w:hAnsi="Times New Roman"/>
          <w:sz w:val="22"/>
        </w:rPr>
        <w:t>is</w:t>
      </w:r>
      <w:r>
        <w:rPr>
          <w:rStyle w:val="8"/>
          <w:rFonts w:ascii="Times New Roman" w:hAnsi="Times New Roman"/>
          <w:sz w:val="22"/>
        </w:rPr>
        <w:t xml:space="preserve"> available</w:t>
      </w:r>
      <w:bookmarkEnd w:id="0"/>
      <w:r>
        <w:rPr>
          <w:rStyle w:val="8"/>
          <w:rFonts w:hint="eastAsia" w:ascii="Times New Roman" w:hAnsi="Times New Roman"/>
          <w:sz w:val="22"/>
          <w:lang w:val="en-US" w:eastAsia="zh-CN"/>
        </w:rPr>
        <w:t xml:space="preserve"> in the layers</w:t>
      </w:r>
      <w:r>
        <w:rPr>
          <w:rStyle w:val="8"/>
          <w:rFonts w:hint="eastAsia" w:ascii="Times New Roman" w:hAnsi="Times New Roman"/>
          <w:sz w:val="22"/>
        </w:rPr>
        <w:t>. Here we set the a very small number of 10</w:t>
      </w:r>
      <w:r>
        <w:rPr>
          <w:rStyle w:val="8"/>
          <w:rFonts w:hint="eastAsia" w:ascii="Times New Roman" w:hAnsi="Times New Roman"/>
          <w:sz w:val="22"/>
          <w:vertAlign w:val="superscript"/>
        </w:rPr>
        <w:t>-10</w:t>
      </w:r>
      <w:r>
        <w:rPr>
          <w:rStyle w:val="8"/>
          <w:rFonts w:hint="eastAsia" w:ascii="Times New Roman" w:hAnsi="Times New Roman"/>
          <w:sz w:val="22"/>
        </w:rPr>
        <w:t xml:space="preserve"> </w:t>
      </w:r>
      <w:r>
        <w:rPr>
          <w:rStyle w:val="8"/>
          <w:rFonts w:hint="eastAsia" w:ascii="Times New Roman" w:hAnsi="Times New Roman"/>
          <w:sz w:val="22"/>
          <w:lang w:val="en-US" w:eastAsia="zh-CN"/>
        </w:rPr>
        <w:t>ml min</w:t>
      </w:r>
      <w:r>
        <w:rPr>
          <w:rStyle w:val="8"/>
          <w:rFonts w:hint="eastAsia" w:ascii="Times New Roman" w:hAnsi="Times New Roman"/>
          <w:sz w:val="22"/>
          <w:vertAlign w:val="superscript"/>
          <w:lang w:val="en-US" w:eastAsia="zh-CN"/>
        </w:rPr>
        <w:t>-1</w:t>
      </w:r>
      <w:r>
        <w:rPr>
          <w:rStyle w:val="8"/>
          <w:rFonts w:hint="eastAsia" w:ascii="Times New Roman" w:hAnsi="Times New Roman"/>
          <w:sz w:val="22"/>
          <w:lang w:val="en-US" w:eastAsia="zh-CN"/>
        </w:rPr>
        <w:t xml:space="preserve"> to the gas flow rate </w:t>
      </w:r>
      <w:r>
        <w:rPr>
          <w:rStyle w:val="8"/>
          <w:rFonts w:hint="eastAsia" w:ascii="Times New Roman" w:hAnsi="Times New Roman"/>
          <w:sz w:val="22"/>
        </w:rPr>
        <w:t xml:space="preserve">as the cavity pressure drop to a small value lower than 19.9 mbar. Data with a total number of 14509 has been identified as bubble-free layers. We also calculated the proportion of bubble-free layers per meter </w:t>
      </w:r>
      <w:r>
        <w:rPr>
          <w:rStyle w:val="8"/>
          <w:rFonts w:hint="eastAsia" w:ascii="Times New Roman" w:hAnsi="Times New Roman"/>
          <w:sz w:val="22"/>
          <w:lang w:val="en-US" w:eastAsia="zh-CN"/>
        </w:rPr>
        <w:t>that</w:t>
      </w:r>
      <w:r>
        <w:rPr>
          <w:rStyle w:val="8"/>
          <w:rFonts w:hint="eastAsia" w:ascii="Times New Roman" w:hAnsi="Times New Roman"/>
          <w:sz w:val="22"/>
        </w:rPr>
        <w:t xml:space="preserve"> displayed in the </w:t>
      </w:r>
      <w:r>
        <w:rPr>
          <w:rStyle w:val="8"/>
          <w:rFonts w:hint="eastAsia" w:ascii="Times New Roman" w:hAnsi="Times New Roman"/>
          <w:sz w:val="22"/>
          <w:lang w:val="en-US" w:eastAsia="zh-CN"/>
        </w:rPr>
        <w:t>lower panel.</w:t>
      </w:r>
    </w:p>
    <w:p>
      <w:pPr>
        <w:rPr>
          <w:rFonts w:ascii="Times New Roman" w:hAnsi="Times New Roman" w:cs="Times New Roman"/>
          <w:bCs/>
        </w:rPr>
      </w:pPr>
      <w:r>
        <w:rPr>
          <w:rFonts w:hint="eastAsia" w:ascii="Times New Roman" w:hAnsi="Times New Roman" w:cs="Times New Roman"/>
          <w:bCs/>
        </w:rPr>
        <w:br w:type="page"/>
      </w:r>
    </w:p>
    <w:p>
      <w:pPr>
        <w:rPr>
          <w:rFonts w:hint="eastAsia" w:eastAsiaTheme="minorEastAsia"/>
          <w:lang w:eastAsia="zh-CN"/>
        </w:rPr>
      </w:pPr>
      <w:r>
        <w:rPr>
          <w:rFonts w:hint="eastAsia" w:eastAsiaTheme="minorEastAsia"/>
          <w:lang w:eastAsia="zh-CN"/>
        </w:rPr>
        <w:drawing>
          <wp:inline distT="0" distB="0" distL="114300" distR="114300">
            <wp:extent cx="5257165" cy="2101850"/>
            <wp:effectExtent l="0" t="0" r="635" b="6350"/>
            <wp:docPr id="7" name="图片 7"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2"/>
                    <pic:cNvPicPr>
                      <a:picLocks noChangeAspect="1"/>
                    </pic:cNvPicPr>
                  </pic:nvPicPr>
                  <pic:blipFill>
                    <a:blip r:embed="rId5"/>
                    <a:stretch>
                      <a:fillRect/>
                    </a:stretch>
                  </pic:blipFill>
                  <pic:spPr>
                    <a:xfrm>
                      <a:off x="0" y="0"/>
                      <a:ext cx="5257165" cy="2101850"/>
                    </a:xfrm>
                    <a:prstGeom prst="rect">
                      <a:avLst/>
                    </a:prstGeom>
                  </pic:spPr>
                </pic:pic>
              </a:graphicData>
            </a:graphic>
          </wp:inline>
        </w:drawing>
      </w:r>
    </w:p>
    <w:p>
      <w:pPr>
        <w:spacing w:line="360" w:lineRule="auto"/>
        <w:rPr>
          <w:rStyle w:val="8"/>
          <w:rFonts w:hint="eastAsia" w:ascii="Times New Roman" w:hAnsi="Times New Roman"/>
          <w:sz w:val="22"/>
        </w:rPr>
      </w:pPr>
      <w:r>
        <w:rPr>
          <w:rStyle w:val="8"/>
          <w:rFonts w:hint="eastAsia" w:ascii="Times New Roman" w:hAnsi="Times New Roman"/>
          <w:b/>
          <w:bCs/>
          <w:sz w:val="22"/>
          <w:lang w:val="en-US" w:eastAsia="zh-CN"/>
        </w:rPr>
        <w:t xml:space="preserve">Figure </w:t>
      </w:r>
      <w:r>
        <w:rPr>
          <w:rStyle w:val="8"/>
          <w:rFonts w:hint="eastAsia" w:ascii="Times New Roman" w:hAnsi="Times New Roman"/>
          <w:b/>
          <w:bCs/>
          <w:sz w:val="22"/>
        </w:rPr>
        <w:t>S2</w:t>
      </w:r>
      <w:r>
        <w:rPr>
          <w:rStyle w:val="8"/>
          <w:rFonts w:hint="eastAsia" w:ascii="Times New Roman" w:hAnsi="Times New Roman"/>
          <w:sz w:val="22"/>
        </w:rPr>
        <w:t xml:space="preserve">. </w:t>
      </w:r>
      <w:r>
        <w:rPr>
          <w:rStyle w:val="8"/>
          <w:rFonts w:hint="eastAsia" w:ascii="Times New Roman" w:hAnsi="Times New Roman"/>
          <w:sz w:val="22"/>
          <w:lang w:val="en-US" w:eastAsia="zh-CN"/>
        </w:rPr>
        <w:t>C</w:t>
      </w:r>
      <w:r>
        <w:rPr>
          <w:rStyle w:val="8"/>
          <w:rFonts w:hint="eastAsia" w:ascii="Times New Roman" w:hAnsi="Times New Roman"/>
          <w:sz w:val="22"/>
        </w:rPr>
        <w:t>ontinuous</w:t>
      </w:r>
      <w:r>
        <w:rPr>
          <w:rStyle w:val="8"/>
          <w:rFonts w:hint="eastAsia" w:ascii="Times New Roman" w:hAnsi="Times New Roman"/>
          <w:sz w:val="22"/>
          <w:lang w:val="en-US" w:eastAsia="zh-CN"/>
        </w:rPr>
        <w:t xml:space="preserve"> TAC </w:t>
      </w:r>
      <w:r>
        <w:rPr>
          <w:rStyle w:val="8"/>
          <w:rFonts w:hint="eastAsia" w:ascii="Times New Roman" w:hAnsi="Times New Roman"/>
          <w:sz w:val="22"/>
        </w:rPr>
        <w:t xml:space="preserve">was calculated based on the relationship between CFA gas flow rate and discrete TAC. </w:t>
      </w:r>
      <w:r>
        <w:rPr>
          <w:rStyle w:val="8"/>
          <w:rFonts w:hint="eastAsia" w:ascii="Times New Roman" w:hAnsi="Times New Roman"/>
          <w:sz w:val="22"/>
          <w:lang w:val="en-US" w:eastAsia="zh-CN"/>
        </w:rPr>
        <w:t xml:space="preserve">Plot </w:t>
      </w:r>
      <w:r>
        <w:rPr>
          <w:rStyle w:val="8"/>
          <w:rFonts w:hint="eastAsia" w:ascii="Times New Roman" w:hAnsi="Times New Roman"/>
          <w:b/>
          <w:bCs/>
          <w:sz w:val="22"/>
        </w:rPr>
        <w:t>(a)</w:t>
      </w:r>
      <w:r>
        <w:rPr>
          <w:rStyle w:val="8"/>
          <w:rFonts w:hint="eastAsia" w:ascii="Times New Roman" w:hAnsi="Times New Roman"/>
          <w:sz w:val="22"/>
        </w:rPr>
        <w:t xml:space="preserve"> shows the discrete TAC and gas flow rate from CFA on the depth scale.</w:t>
      </w:r>
      <w:r>
        <w:rPr>
          <w:rStyle w:val="8"/>
          <w:rFonts w:hint="eastAsia" w:ascii="Times New Roman" w:hAnsi="Times New Roman"/>
          <w:sz w:val="22"/>
          <w:lang w:val="en-US" w:eastAsia="zh-CN"/>
        </w:rPr>
        <w:t xml:space="preserve"> Discrete TAC and the overlapped mean gas flow rate from CFA are also plotted.</w:t>
      </w:r>
      <w:r>
        <w:rPr>
          <w:rStyle w:val="8"/>
          <w:rFonts w:hint="eastAsia" w:ascii="Times New Roman" w:hAnsi="Times New Roman"/>
          <w:sz w:val="22"/>
        </w:rPr>
        <w:t xml:space="preserve"> </w:t>
      </w:r>
      <w:r>
        <w:rPr>
          <w:rStyle w:val="8"/>
          <w:rFonts w:hint="eastAsia" w:ascii="Times New Roman" w:hAnsi="Times New Roman"/>
          <w:sz w:val="22"/>
          <w:lang w:val="en-US" w:eastAsia="zh-CN"/>
        </w:rPr>
        <w:t>A temporal lagging of 22 s was taken into consideration in calculating the averaged gas flow rate. 22 s was the system responding time that described in S5.</w:t>
      </w:r>
      <w:r>
        <w:rPr>
          <w:rStyle w:val="8"/>
          <w:rFonts w:hint="eastAsia" w:ascii="Times New Roman" w:hAnsi="Times New Roman"/>
          <w:b/>
          <w:bCs/>
          <w:sz w:val="22"/>
          <w:lang w:val="en-US" w:eastAsia="zh-CN"/>
        </w:rPr>
        <w:t xml:space="preserve"> </w:t>
      </w:r>
      <w:r>
        <w:rPr>
          <w:rStyle w:val="8"/>
          <w:rFonts w:hint="eastAsia" w:ascii="Times New Roman" w:hAnsi="Times New Roman"/>
          <w:b w:val="0"/>
          <w:bCs w:val="0"/>
          <w:sz w:val="22"/>
          <w:lang w:val="en-US" w:eastAsia="zh-CN"/>
        </w:rPr>
        <w:t>Plot</w:t>
      </w:r>
      <w:r>
        <w:rPr>
          <w:rStyle w:val="8"/>
          <w:rFonts w:hint="eastAsia" w:ascii="Times New Roman" w:hAnsi="Times New Roman"/>
          <w:b/>
          <w:bCs/>
          <w:sz w:val="22"/>
          <w:lang w:val="en-US" w:eastAsia="zh-CN"/>
        </w:rPr>
        <w:t xml:space="preserve"> </w:t>
      </w:r>
      <w:r>
        <w:rPr>
          <w:rStyle w:val="8"/>
          <w:rFonts w:hint="eastAsia" w:ascii="Times New Roman" w:hAnsi="Times New Roman"/>
          <w:b/>
          <w:bCs/>
          <w:sz w:val="22"/>
        </w:rPr>
        <w:t>(b)</w:t>
      </w:r>
      <w:r>
        <w:rPr>
          <w:rStyle w:val="8"/>
          <w:rFonts w:hint="eastAsia" w:ascii="Times New Roman" w:hAnsi="Times New Roman"/>
          <w:sz w:val="22"/>
        </w:rPr>
        <w:t xml:space="preserve"> </w:t>
      </w:r>
      <w:r>
        <w:rPr>
          <w:rStyle w:val="8"/>
          <w:rFonts w:hint="eastAsia" w:ascii="Times New Roman" w:hAnsi="Times New Roman"/>
          <w:sz w:val="22"/>
          <w:lang w:val="en-US" w:eastAsia="zh-CN"/>
        </w:rPr>
        <w:t xml:space="preserve">shows the </w:t>
      </w:r>
      <w:r>
        <w:rPr>
          <w:rStyle w:val="8"/>
          <w:rFonts w:hint="eastAsia" w:ascii="Times New Roman" w:hAnsi="Times New Roman"/>
          <w:sz w:val="22"/>
        </w:rPr>
        <w:t>ratio of 69 discrete TAC values and overlapped mean CFA gas flow rates</w:t>
      </w:r>
      <w:r>
        <w:rPr>
          <w:rStyle w:val="8"/>
          <w:rFonts w:hint="eastAsia" w:ascii="Times New Roman" w:hAnsi="Times New Roman"/>
          <w:sz w:val="22"/>
          <w:lang w:val="en-US" w:eastAsia="zh-CN"/>
        </w:rPr>
        <w:t xml:space="preserve"> that shown in (a)</w:t>
      </w:r>
      <w:r>
        <w:rPr>
          <w:rStyle w:val="8"/>
          <w:rFonts w:hint="eastAsia" w:ascii="Times New Roman" w:hAnsi="Times New Roman"/>
          <w:sz w:val="22"/>
        </w:rPr>
        <w:t xml:space="preserve">. </w:t>
      </w:r>
      <w:r>
        <w:rPr>
          <w:rStyle w:val="8"/>
          <w:rFonts w:hint="eastAsia" w:ascii="Times New Roman" w:hAnsi="Times New Roman"/>
          <w:sz w:val="22"/>
          <w:lang w:val="en-US" w:eastAsia="zh-CN"/>
        </w:rPr>
        <w:t>56 data that stable gas flow rate was presented as solid cycles. These values were selected when the mean gas flow rate within 12 cm larger than 5 times of the standard deviation, and no bubble-free layer in 12 cm depth coverage.</w:t>
      </w:r>
      <w:r>
        <w:rPr>
          <w:rStyle w:val="8"/>
          <w:rFonts w:hint="eastAsia" w:ascii="Times New Roman" w:hAnsi="Times New Roman"/>
          <w:sz w:val="22"/>
        </w:rPr>
        <w:t xml:space="preserve"> </w:t>
      </w:r>
      <w:r>
        <w:rPr>
          <w:rStyle w:val="8"/>
          <w:rFonts w:hint="eastAsia" w:ascii="Times New Roman" w:hAnsi="Times New Roman"/>
          <w:sz w:val="22"/>
          <w:lang w:val="en-US" w:eastAsia="zh-CN"/>
        </w:rPr>
        <w:t>M</w:t>
      </w:r>
      <w:r>
        <w:rPr>
          <w:rStyle w:val="8"/>
          <w:rFonts w:hint="eastAsia" w:ascii="Times New Roman" w:hAnsi="Times New Roman"/>
          <w:sz w:val="22"/>
        </w:rPr>
        <w:t xml:space="preserve">ean value of </w:t>
      </w:r>
      <w:r>
        <w:rPr>
          <w:rStyle w:val="8"/>
          <w:rFonts w:hint="eastAsia" w:ascii="Times New Roman" w:hAnsi="Times New Roman"/>
          <w:sz w:val="22"/>
          <w:lang w:val="en-US" w:eastAsia="zh-CN"/>
        </w:rPr>
        <w:t>the ratios ( TAC / Gas flow rate )</w:t>
      </w:r>
      <w:r>
        <w:rPr>
          <w:rStyle w:val="8"/>
          <w:rFonts w:hint="eastAsia" w:ascii="Times New Roman" w:hAnsi="Times New Roman"/>
          <w:sz w:val="22"/>
        </w:rPr>
        <w:t xml:space="preserve"> </w:t>
      </w:r>
      <w:r>
        <w:rPr>
          <w:rStyle w:val="8"/>
          <w:rFonts w:hint="eastAsia" w:ascii="Times New Roman" w:hAnsi="Times New Roman"/>
          <w:sz w:val="22"/>
          <w:lang w:val="en-US" w:eastAsia="zh-CN"/>
        </w:rPr>
        <w:t xml:space="preserve">was used </w:t>
      </w:r>
      <w:r>
        <w:rPr>
          <w:rStyle w:val="8"/>
          <w:rFonts w:hint="eastAsia" w:ascii="Times New Roman" w:hAnsi="Times New Roman"/>
          <w:sz w:val="22"/>
        </w:rPr>
        <w:t xml:space="preserve">as </w:t>
      </w:r>
      <w:r>
        <w:rPr>
          <w:rStyle w:val="8"/>
          <w:rFonts w:hint="eastAsia" w:ascii="Times New Roman" w:hAnsi="Times New Roman"/>
          <w:sz w:val="22"/>
          <w:lang w:val="en-US" w:eastAsia="zh-CN"/>
        </w:rPr>
        <w:t>a</w:t>
      </w:r>
      <w:r>
        <w:rPr>
          <w:rStyle w:val="8"/>
          <w:rFonts w:hint="eastAsia" w:ascii="Times New Roman" w:hAnsi="Times New Roman"/>
          <w:sz w:val="22"/>
        </w:rPr>
        <w:t xml:space="preserve"> scaling factor </w:t>
      </w:r>
      <w:r>
        <w:rPr>
          <w:rStyle w:val="8"/>
          <w:rFonts w:hint="eastAsia" w:ascii="Times New Roman" w:hAnsi="Times New Roman"/>
          <w:sz w:val="22"/>
          <w:lang w:val="en-US" w:eastAsia="zh-CN"/>
        </w:rPr>
        <w:t xml:space="preserve">to calculate the continuous TAC. </w:t>
      </w:r>
      <w:r>
        <w:rPr>
          <w:rStyle w:val="8"/>
          <w:rFonts w:hint="eastAsia" w:ascii="Times New Roman" w:hAnsi="Times New Roman"/>
          <w:sz w:val="22"/>
        </w:rPr>
        <w:t>±1 standard deviation</w:t>
      </w:r>
      <w:r>
        <w:rPr>
          <w:rStyle w:val="8"/>
          <w:rFonts w:hint="eastAsia" w:ascii="Times New Roman" w:hAnsi="Times New Roman"/>
          <w:sz w:val="22"/>
          <w:lang w:val="en-US" w:eastAsia="zh-CN"/>
        </w:rPr>
        <w:t xml:space="preserve"> of the data</w:t>
      </w:r>
      <w:r>
        <w:rPr>
          <w:rStyle w:val="8"/>
          <w:rFonts w:hint="eastAsia" w:ascii="Times New Roman" w:hAnsi="Times New Roman"/>
          <w:sz w:val="22"/>
        </w:rPr>
        <w:t xml:space="preserve"> w</w:t>
      </w:r>
      <w:r>
        <w:rPr>
          <w:rStyle w:val="8"/>
          <w:rFonts w:hint="eastAsia" w:ascii="Times New Roman" w:hAnsi="Times New Roman"/>
          <w:sz w:val="22"/>
          <w:lang w:val="en-US" w:eastAsia="zh-CN"/>
        </w:rPr>
        <w:t>as</w:t>
      </w:r>
      <w:r>
        <w:rPr>
          <w:rStyle w:val="8"/>
          <w:rFonts w:hint="eastAsia" w:ascii="Times New Roman" w:hAnsi="Times New Roman"/>
          <w:sz w:val="22"/>
        </w:rPr>
        <w:t xml:space="preserve"> </w:t>
      </w:r>
      <w:r>
        <w:rPr>
          <w:rStyle w:val="8"/>
          <w:rFonts w:hint="eastAsia" w:ascii="Times New Roman" w:hAnsi="Times New Roman"/>
          <w:sz w:val="22"/>
          <w:lang w:val="en-US" w:eastAsia="zh-CN"/>
        </w:rPr>
        <w:t xml:space="preserve">used </w:t>
      </w:r>
      <w:r>
        <w:rPr>
          <w:rStyle w:val="8"/>
          <w:rFonts w:hint="eastAsia" w:ascii="Times New Roman" w:hAnsi="Times New Roman"/>
          <w:sz w:val="22"/>
        </w:rPr>
        <w:t xml:space="preserve">as their upper (or lower) limits. </w:t>
      </w:r>
    </w:p>
    <w:p>
      <w:pPr>
        <w:rPr>
          <w:rFonts w:hint="eastAsia" w:ascii="Times New Roman" w:hAnsi="Times New Roman" w:cs="Times New Roman"/>
          <w:bCs/>
        </w:rPr>
      </w:pPr>
      <w:r>
        <w:rPr>
          <w:rFonts w:hint="eastAsia" w:ascii="Times New Roman" w:hAnsi="Times New Roman" w:cs="Times New Roman"/>
          <w:bCs/>
        </w:rPr>
        <w:br w:type="page"/>
      </w:r>
    </w:p>
    <w:p>
      <w:pPr>
        <w:rPr>
          <w:rFonts w:hint="eastAsia" w:ascii="Times New Roman" w:hAnsi="Times New Roman" w:cs="Times New Roman"/>
          <w:bCs/>
        </w:rPr>
      </w:pPr>
    </w:p>
    <w:p>
      <w:pPr>
        <w:rPr>
          <w:rFonts w:hint="eastAsia" w:ascii="Times New Roman" w:hAnsi="Times New Roman" w:cs="Times New Roman"/>
          <w:b/>
        </w:rPr>
      </w:pPr>
    </w:p>
    <w:p>
      <w:pPr>
        <w:spacing w:line="360" w:lineRule="auto"/>
        <w:rPr>
          <w:rStyle w:val="8"/>
          <w:rFonts w:hint="eastAsia" w:ascii="Times New Roman" w:hAnsi="Times New Roman"/>
          <w:sz w:val="22"/>
          <w:lang w:val="en-US" w:eastAsia="zh-CN"/>
        </w:rPr>
      </w:pPr>
      <w:r>
        <w:rPr>
          <w:rStyle w:val="8"/>
          <w:rFonts w:hint="eastAsia" w:ascii="Times New Roman" w:hAnsi="Times New Roman"/>
          <w:b/>
          <w:bCs/>
          <w:sz w:val="22"/>
          <w:lang w:val="en-US" w:eastAsia="zh-CN"/>
        </w:rPr>
        <w:t>Equation S (1).</w:t>
      </w:r>
      <w:r>
        <w:rPr>
          <w:rStyle w:val="8"/>
          <w:rFonts w:hint="eastAsia" w:ascii="Times New Roman" w:hAnsi="Times New Roman"/>
          <w:sz w:val="22"/>
          <w:lang w:val="en-US" w:eastAsia="zh-CN"/>
        </w:rPr>
        <w:t xml:space="preserve"> Continuous TAC was also calculated based on its intrinsically physical relationship with gas flow rate. The equation was describe as follows:  </w:t>
      </w:r>
    </w:p>
    <w:p>
      <w:pPr>
        <w:spacing w:line="360" w:lineRule="auto"/>
        <w:rPr>
          <w:rStyle w:val="8"/>
          <w:rFonts w:hint="default" w:ascii="Times New Roman" w:hAnsi="Times New Roman"/>
          <w:sz w:val="22"/>
          <w:lang w:val="en-US" w:eastAsia="zh-CN"/>
        </w:rPr>
      </w:pPr>
      <w:r>
        <w:rPr>
          <w:rStyle w:val="8"/>
          <w:rFonts w:hint="eastAsia" w:ascii="Times New Roman" w:hAnsi="Times New Roman"/>
          <w:position w:val="-32"/>
          <w:sz w:val="22"/>
          <w:lang w:val="en-US" w:eastAsia="zh-CN"/>
        </w:rPr>
        <w:object>
          <v:shape id="_x0000_i1025" o:spt="75" type="#_x0000_t75" style="height:37.2pt;width:189.4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Style w:val="8"/>
          <w:rFonts w:hint="eastAsia" w:ascii="Times New Roman" w:hAnsi="Times New Roman"/>
          <w:sz w:val="22"/>
          <w:lang w:val="en-US" w:eastAsia="zh-CN"/>
        </w:rPr>
        <w:t xml:space="preserve">                                      (1) </w:t>
      </w:r>
    </w:p>
    <w:p>
      <w:pPr>
        <w:spacing w:line="360" w:lineRule="auto"/>
        <w:rPr>
          <w:rStyle w:val="8"/>
          <w:rFonts w:hint="eastAsia" w:ascii="Times New Roman" w:hAnsi="Times New Roman"/>
          <w:sz w:val="22"/>
          <w:lang w:val="en-US" w:eastAsia="zh-CN"/>
        </w:rPr>
      </w:pPr>
      <w:r>
        <w:rPr>
          <w:rStyle w:val="8"/>
          <w:rFonts w:hint="eastAsia" w:ascii="Times New Roman" w:hAnsi="Times New Roman"/>
          <w:sz w:val="22"/>
          <w:lang w:val="en-US" w:eastAsia="zh-CN"/>
        </w:rPr>
        <w:t>The melt rate was taken from a mean value of 5.4 cm min</w:t>
      </w:r>
      <w:r>
        <w:rPr>
          <w:rStyle w:val="8"/>
          <w:rFonts w:hint="eastAsia" w:ascii="Times New Roman" w:hAnsi="Times New Roman"/>
          <w:sz w:val="22"/>
          <w:vertAlign w:val="superscript"/>
          <w:lang w:val="en-US" w:eastAsia="zh-CN"/>
        </w:rPr>
        <w:t>-1</w:t>
      </w:r>
      <w:r>
        <w:rPr>
          <w:rStyle w:val="8"/>
          <w:rFonts w:hint="eastAsia" w:ascii="Times New Roman" w:hAnsi="Times New Roman"/>
          <w:sz w:val="22"/>
          <w:lang w:val="en-US" w:eastAsia="zh-CN"/>
        </w:rPr>
        <w:t xml:space="preserve"> that measured simultaneously with ice samples. Upper (lower) limits to this parameter were estimated to be 4.5 cm min</w:t>
      </w:r>
      <w:r>
        <w:rPr>
          <w:rStyle w:val="8"/>
          <w:rFonts w:hint="eastAsia" w:ascii="Times New Roman" w:hAnsi="Times New Roman"/>
          <w:sz w:val="22"/>
          <w:vertAlign w:val="superscript"/>
          <w:lang w:val="en-US" w:eastAsia="zh-CN"/>
        </w:rPr>
        <w:t>-1</w:t>
      </w:r>
      <w:r>
        <w:rPr>
          <w:rStyle w:val="8"/>
          <w:rFonts w:hint="eastAsia" w:ascii="Times New Roman" w:hAnsi="Times New Roman"/>
          <w:sz w:val="22"/>
          <w:lang w:val="en-US" w:eastAsia="zh-CN"/>
        </w:rPr>
        <w:t xml:space="preserve"> and 6.3 cm min</w:t>
      </w:r>
      <w:r>
        <w:rPr>
          <w:rStyle w:val="8"/>
          <w:rFonts w:hint="eastAsia" w:ascii="Times New Roman" w:hAnsi="Times New Roman"/>
          <w:sz w:val="22"/>
          <w:vertAlign w:val="superscript"/>
          <w:lang w:val="en-US" w:eastAsia="zh-CN"/>
        </w:rPr>
        <w:t>-1</w:t>
      </w:r>
      <w:r>
        <w:rPr>
          <w:rStyle w:val="8"/>
          <w:rFonts w:hint="eastAsia" w:ascii="Times New Roman" w:hAnsi="Times New Roman"/>
          <w:sz w:val="22"/>
          <w:lang w:val="en-US" w:eastAsia="zh-CN"/>
        </w:rPr>
        <w:t>, taken from the average melt rate ±1 standard deviation. The density for each core segments were converted from the ice mass that measured before CFA measurement. We take a value of 0.84 g m</w:t>
      </w:r>
      <w:r>
        <w:rPr>
          <w:rStyle w:val="8"/>
          <w:rFonts w:hint="eastAsia" w:ascii="Times New Roman" w:hAnsi="Times New Roman"/>
          <w:sz w:val="22"/>
          <w:vertAlign w:val="superscript"/>
          <w:lang w:val="en-US" w:eastAsia="zh-CN"/>
        </w:rPr>
        <w:t>-3</w:t>
      </w:r>
      <w:r>
        <w:rPr>
          <w:rStyle w:val="8"/>
          <w:rFonts w:hint="eastAsia" w:ascii="Times New Roman" w:hAnsi="Times New Roman"/>
          <w:sz w:val="22"/>
          <w:lang w:val="en-US" w:eastAsia="zh-CN"/>
        </w:rPr>
        <w:t xml:space="preserve"> that is the mean value in core segments below 30 m. Upper (lower) limits to this parameter were estimated to be 0.81 to 0.88 g m</w:t>
      </w:r>
      <w:r>
        <w:rPr>
          <w:rStyle w:val="8"/>
          <w:rFonts w:hint="eastAsia" w:ascii="Times New Roman" w:hAnsi="Times New Roman"/>
          <w:sz w:val="22"/>
          <w:vertAlign w:val="superscript"/>
          <w:lang w:val="en-US" w:eastAsia="zh-CN"/>
        </w:rPr>
        <w:t>-3</w:t>
      </w:r>
      <w:r>
        <w:rPr>
          <w:rStyle w:val="8"/>
          <w:rFonts w:hint="eastAsia" w:ascii="Times New Roman" w:hAnsi="Times New Roman"/>
          <w:sz w:val="22"/>
          <w:lang w:val="en-US" w:eastAsia="zh-CN"/>
        </w:rPr>
        <w:t xml:space="preserve">, taken from the average density ±1 standard deviation. S is the inner diameter of melter of 2.26×2.26 cm. </w:t>
      </w:r>
    </w:p>
    <w:p>
      <w:pPr>
        <w:spacing w:line="360" w:lineRule="auto"/>
        <w:rPr>
          <w:rStyle w:val="8"/>
          <w:rFonts w:hint="eastAsia" w:ascii="Times New Roman" w:hAnsi="Times New Roman"/>
          <w:sz w:val="22"/>
          <w:lang w:val="en-US" w:eastAsia="zh-CN"/>
        </w:rPr>
      </w:pPr>
    </w:p>
    <w:p>
      <w:pPr>
        <w:rPr>
          <w:rFonts w:ascii="Times New Roman" w:hAnsi="Times New Roman" w:cs="Times New Roman"/>
          <w:bCs/>
        </w:rPr>
      </w:pPr>
    </w:p>
    <w:p>
      <w:pPr>
        <w:rPr>
          <w:rFonts w:ascii="Times New Roman" w:hAnsi="Times New Roman" w:cs="Times New Roman"/>
          <w:b/>
        </w:rPr>
      </w:pPr>
      <w:r>
        <w:rPr>
          <w:rFonts w:ascii="Times New Roman" w:hAnsi="Times New Roman" w:cs="Times New Roman"/>
          <w:b/>
        </w:rPr>
        <w:br w:type="page"/>
      </w:r>
    </w:p>
    <w:p>
      <w:pPr>
        <w:jc w:val="center"/>
        <w:rPr>
          <w:rStyle w:val="8"/>
          <w:rFonts w:hint="eastAsia" w:ascii="Times New Roman" w:hAnsi="Times New Roman" w:eastAsia="宋体"/>
          <w:sz w:val="22"/>
          <w:lang w:eastAsia="zh-CN"/>
        </w:rPr>
      </w:pPr>
      <w:r>
        <w:rPr>
          <w:rStyle w:val="8"/>
          <w:rFonts w:hint="eastAsia" w:ascii="Times New Roman" w:hAnsi="Times New Roman" w:eastAsia="宋体"/>
          <w:sz w:val="22"/>
          <w:lang w:eastAsia="zh-CN"/>
        </w:rPr>
        <w:drawing>
          <wp:inline distT="0" distB="0" distL="114300" distR="114300">
            <wp:extent cx="5267960" cy="5267960"/>
            <wp:effectExtent l="0" t="0" r="2540" b="2540"/>
            <wp:docPr id="9" name="图片 9"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3"/>
                    <pic:cNvPicPr>
                      <a:picLocks noChangeAspect="1"/>
                    </pic:cNvPicPr>
                  </pic:nvPicPr>
                  <pic:blipFill>
                    <a:blip r:embed="rId8"/>
                    <a:stretch>
                      <a:fillRect/>
                    </a:stretch>
                  </pic:blipFill>
                  <pic:spPr>
                    <a:xfrm>
                      <a:off x="0" y="0"/>
                      <a:ext cx="5267960" cy="5267960"/>
                    </a:xfrm>
                    <a:prstGeom prst="rect">
                      <a:avLst/>
                    </a:prstGeom>
                  </pic:spPr>
                </pic:pic>
              </a:graphicData>
            </a:graphic>
          </wp:inline>
        </w:drawing>
      </w:r>
    </w:p>
    <w:p>
      <w:pPr>
        <w:jc w:val="center"/>
        <w:rPr>
          <w:rStyle w:val="8"/>
          <w:rFonts w:ascii="Times New Roman" w:hAnsi="Times New Roman" w:eastAsia="宋体"/>
          <w:sz w:val="22"/>
        </w:rPr>
      </w:pPr>
    </w:p>
    <w:p>
      <w:pPr>
        <w:spacing w:line="360" w:lineRule="auto"/>
        <w:rPr>
          <w:rStyle w:val="8"/>
          <w:rFonts w:hint="eastAsia" w:ascii="Times New Roman" w:hAnsi="Times New Roman"/>
          <w:sz w:val="22"/>
          <w:lang w:val="en-US" w:eastAsia="zh-CN"/>
        </w:rPr>
      </w:pPr>
      <w:r>
        <w:rPr>
          <w:rStyle w:val="8"/>
          <w:rFonts w:hint="eastAsia" w:ascii="Times New Roman" w:hAnsi="Times New Roman"/>
          <w:b/>
          <w:bCs/>
          <w:sz w:val="22"/>
          <w:lang w:val="en-US" w:eastAsia="zh-CN"/>
        </w:rPr>
        <w:t xml:space="preserve">Figure S3. </w:t>
      </w:r>
      <w:r>
        <w:rPr>
          <w:rStyle w:val="8"/>
          <w:rFonts w:hint="eastAsia" w:ascii="Times New Roman" w:hAnsi="Times New Roman"/>
          <w:sz w:val="22"/>
          <w:lang w:val="en-US" w:eastAsia="zh-CN"/>
        </w:rPr>
        <w:t xml:space="preserve">The TAC ratios that calculated by two independent methods, as well as its uncertainty intervals. </w:t>
      </w:r>
    </w:p>
    <w:p>
      <w:pPr>
        <w:rPr>
          <w:rStyle w:val="8"/>
          <w:rFonts w:ascii="Times New Roman" w:hAnsi="Times New Roman" w:eastAsia="宋体"/>
          <w:sz w:val="22"/>
        </w:rPr>
      </w:pPr>
      <w:r>
        <w:rPr>
          <w:rStyle w:val="8"/>
          <w:rFonts w:ascii="Times New Roman" w:hAnsi="Times New Roman" w:eastAsia="宋体"/>
          <w:sz w:val="22"/>
        </w:rPr>
        <w:br w:type="page"/>
      </w:r>
    </w:p>
    <w:p>
      <w:pPr>
        <w:rPr>
          <w:rStyle w:val="8"/>
          <w:rFonts w:ascii="Times New Roman" w:hAnsi="Times New Roman" w:eastAsia="宋体"/>
          <w:sz w:val="22"/>
        </w:rPr>
      </w:pPr>
    </w:p>
    <w:p>
      <w:pPr>
        <w:rPr>
          <w:rFonts w:hint="eastAsia" w:ascii="Times New Roman" w:hAnsi="Times New Roman" w:cs="Times New Roman" w:eastAsiaTheme="minorEastAsia"/>
          <w:b/>
          <w:lang w:eastAsia="zh-CN"/>
        </w:rPr>
      </w:pPr>
      <w:r>
        <w:rPr>
          <w:rFonts w:hint="eastAsia" w:ascii="Times New Roman" w:hAnsi="Times New Roman" w:cs="Times New Roman" w:eastAsiaTheme="minorEastAsia"/>
          <w:b/>
          <w:lang w:eastAsia="zh-CN"/>
        </w:rPr>
        <w:drawing>
          <wp:inline distT="0" distB="0" distL="114300" distR="114300">
            <wp:extent cx="5269865" cy="3162300"/>
            <wp:effectExtent l="0" t="0" r="635" b="0"/>
            <wp:docPr id="2" name="图片 2" desc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4"/>
                    <pic:cNvPicPr>
                      <a:picLocks noChangeAspect="1"/>
                    </pic:cNvPicPr>
                  </pic:nvPicPr>
                  <pic:blipFill>
                    <a:blip r:embed="rId9"/>
                    <a:stretch>
                      <a:fillRect/>
                    </a:stretch>
                  </pic:blipFill>
                  <pic:spPr>
                    <a:xfrm>
                      <a:off x="0" y="0"/>
                      <a:ext cx="5269865" cy="3162300"/>
                    </a:xfrm>
                    <a:prstGeom prst="rect">
                      <a:avLst/>
                    </a:prstGeom>
                  </pic:spPr>
                </pic:pic>
              </a:graphicData>
            </a:graphic>
          </wp:inline>
        </w:drawing>
      </w:r>
    </w:p>
    <w:p>
      <w:pPr>
        <w:spacing w:line="360" w:lineRule="auto"/>
        <w:rPr>
          <w:rStyle w:val="8"/>
          <w:rFonts w:hint="eastAsia" w:ascii="Times New Roman" w:hAnsi="Times New Roman"/>
          <w:sz w:val="22"/>
          <w:lang w:val="en-US" w:eastAsia="zh-CN"/>
        </w:rPr>
      </w:pPr>
      <w:r>
        <w:rPr>
          <w:rStyle w:val="8"/>
          <w:rFonts w:hint="eastAsia" w:ascii="Times New Roman" w:hAnsi="Times New Roman"/>
          <w:b/>
          <w:bCs/>
          <w:sz w:val="22"/>
          <w:lang w:val="en-US" w:eastAsia="zh-CN"/>
        </w:rPr>
        <w:t>Figure S4</w:t>
      </w:r>
      <w:r>
        <w:rPr>
          <w:rStyle w:val="8"/>
          <w:rFonts w:hint="eastAsia" w:ascii="Times New Roman" w:hAnsi="Times New Roman"/>
          <w:sz w:val="22"/>
          <w:lang w:val="en-US" w:eastAsia="zh-CN"/>
        </w:rPr>
        <w:t>. The overlapped core section that used for duplicate measurements. The standard deviation of the TAC differences between the overlapped sections is calculated to be 3.50 (N=241).</w:t>
      </w:r>
    </w:p>
    <w:p>
      <w:pPr>
        <w:rPr>
          <w:rFonts w:ascii="Times New Roman" w:hAnsi="Times New Roman" w:cs="Times New Roman"/>
          <w:b/>
        </w:rPr>
      </w:pPr>
      <w:r>
        <w:rPr>
          <w:rFonts w:ascii="Times New Roman" w:hAnsi="Times New Roman" w:cs="Times New Roman"/>
          <w:b/>
        </w:rPr>
        <w:br w:type="page"/>
      </w:r>
    </w:p>
    <w:p>
      <w:pPr>
        <w:rPr>
          <w:rFonts w:hint="eastAsia" w:ascii="Times New Roman" w:hAnsi="Times New Roman" w:cs="Times New Roman"/>
          <w:bCs/>
        </w:rPr>
      </w:pPr>
      <w:r>
        <w:rPr>
          <w:rFonts w:hint="eastAsia" w:ascii="Times New Roman" w:hAnsi="Times New Roman" w:cs="Times New Roman"/>
          <w:bCs/>
        </w:rPr>
        <w:drawing>
          <wp:inline distT="0" distB="0" distL="114300" distR="114300">
            <wp:extent cx="5049520" cy="8851265"/>
            <wp:effectExtent l="0" t="0" r="5080" b="635"/>
            <wp:docPr id="3" name="图片 3" descr="precision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recision assessment"/>
                    <pic:cNvPicPr>
                      <a:picLocks noChangeAspect="1"/>
                    </pic:cNvPicPr>
                  </pic:nvPicPr>
                  <pic:blipFill>
                    <a:blip r:embed="rId10"/>
                    <a:stretch>
                      <a:fillRect/>
                    </a:stretch>
                  </pic:blipFill>
                  <pic:spPr>
                    <a:xfrm>
                      <a:off x="0" y="0"/>
                      <a:ext cx="5049520" cy="8851265"/>
                    </a:xfrm>
                    <a:prstGeom prst="rect">
                      <a:avLst/>
                    </a:prstGeom>
                  </pic:spPr>
                </pic:pic>
              </a:graphicData>
            </a:graphic>
          </wp:inline>
        </w:drawing>
      </w:r>
    </w:p>
    <w:p>
      <w:pPr>
        <w:spacing w:line="360" w:lineRule="auto"/>
        <w:rPr>
          <w:rStyle w:val="8"/>
          <w:rFonts w:hint="eastAsia" w:ascii="Times New Roman" w:hAnsi="Times New Roman"/>
          <w:sz w:val="22"/>
          <w:lang w:val="en-US" w:eastAsia="zh-CN"/>
        </w:rPr>
      </w:pPr>
      <w:r>
        <w:rPr>
          <w:rStyle w:val="8"/>
          <w:rFonts w:hint="eastAsia" w:ascii="Times New Roman" w:hAnsi="Times New Roman"/>
          <w:b/>
          <w:bCs/>
          <w:sz w:val="22"/>
          <w:lang w:val="en-US" w:eastAsia="zh-CN"/>
        </w:rPr>
        <w:t xml:space="preserve">Figure S5. (a) </w:t>
      </w:r>
      <w:r>
        <w:rPr>
          <w:rStyle w:val="8"/>
          <w:rFonts w:hint="eastAsia" w:ascii="Times New Roman" w:hAnsi="Times New Roman"/>
          <w:sz w:val="22"/>
          <w:lang w:val="en-US" w:eastAsia="zh-CN"/>
        </w:rPr>
        <w:t>shows the normalized Gas Flow Rate (GFR) as a response to a stepwise changes between 1.90 to 2.15 cm min</w:t>
      </w:r>
      <w:r>
        <w:rPr>
          <w:rStyle w:val="8"/>
          <w:rFonts w:hint="eastAsia" w:ascii="Times New Roman" w:hAnsi="Times New Roman"/>
          <w:sz w:val="22"/>
          <w:vertAlign w:val="superscript"/>
          <w:lang w:val="en-US" w:eastAsia="zh-CN"/>
        </w:rPr>
        <w:t>-1</w:t>
      </w:r>
      <w:r>
        <w:rPr>
          <w:rStyle w:val="8"/>
          <w:rFonts w:hint="eastAsia" w:ascii="Times New Roman" w:hAnsi="Times New Roman"/>
          <w:sz w:val="22"/>
          <w:lang w:val="en-US" w:eastAsia="zh-CN"/>
        </w:rPr>
        <w:t xml:space="preserve"> (black dots). A fit to the data using a scaled version of the cumulative distribution function (cdf) of a log normal distribution is shown as a dashed red line. Following </w:t>
      </w:r>
      <w:r>
        <w:rPr>
          <w:rStyle w:val="8"/>
          <w:rFonts w:hint="eastAsia" w:ascii="Times New Roman" w:hAnsi="Times New Roman"/>
          <w:b/>
          <w:bCs/>
          <w:sz w:val="22"/>
          <w:lang w:val="en-US" w:eastAsia="zh-CN"/>
        </w:rPr>
        <w:t>(b)</w:t>
      </w:r>
      <w:r>
        <w:rPr>
          <w:rStyle w:val="8"/>
          <w:rFonts w:hint="eastAsia" w:ascii="Times New Roman" w:hAnsi="Times New Roman"/>
          <w:sz w:val="22"/>
          <w:lang w:val="en-US" w:eastAsia="zh-CN"/>
        </w:rPr>
        <w:t xml:space="preserve"> shows the derivative of the normalized step response in (a), with the derivative of the cdf fit shown as a dashed red line. The transfer function Ĝ(f) ( f = dGFR / dt ) in </w:t>
      </w:r>
      <w:r>
        <w:rPr>
          <w:rStyle w:val="8"/>
          <w:rFonts w:hint="eastAsia" w:ascii="Times New Roman" w:hAnsi="Times New Roman"/>
          <w:b/>
          <w:bCs/>
          <w:sz w:val="22"/>
          <w:lang w:val="en-US" w:eastAsia="zh-CN"/>
        </w:rPr>
        <w:t>(c)</w:t>
      </w:r>
      <w:r>
        <w:rPr>
          <w:rStyle w:val="8"/>
          <w:rFonts w:hint="eastAsia" w:ascii="Times New Roman" w:hAnsi="Times New Roman"/>
          <w:sz w:val="22"/>
          <w:lang w:val="en-US" w:eastAsia="zh-CN"/>
        </w:rPr>
        <w:t xml:space="preserve"> is the Fourier transform of the normalized derivative that shown in (b). The magnitude of the transfer function describes how the amplitude of a periodic input signal of a certain frequency is damped when analyzed by the system. Following figure c shows the magnitude of the transfer function (black dots) of the system. The transfer functions of the derivative of the cdf fit represents the theoretical zero-noise case (dashed red line).</w:t>
      </w:r>
    </w:p>
    <w:p>
      <w:pPr>
        <w:rPr>
          <w:rFonts w:hint="eastAsia" w:ascii="Times New Roman" w:hAnsi="Times New Roman" w:cs="Times New Roman"/>
          <w:bCs/>
        </w:rPr>
      </w:pPr>
      <w:r>
        <w:rPr>
          <w:rFonts w:hint="eastAsia" w:ascii="Times New Roman" w:hAnsi="Times New Roman" w:cs="Times New Roman"/>
          <w:bCs/>
        </w:rPr>
        <w:br w:type="page"/>
      </w:r>
    </w:p>
    <w:p>
      <w:pPr>
        <w:jc w:val="center"/>
        <w:rPr>
          <w:rFonts w:ascii="Times New Roman" w:hAnsi="Times New Roman" w:cs="Times New Roman"/>
          <w:sz w:val="22"/>
        </w:rPr>
      </w:pPr>
      <w:r>
        <w:rPr>
          <w:rFonts w:ascii="Times New Roman" w:hAnsi="Times New Roman" w:cs="Times New Roman"/>
          <w:sz w:val="22"/>
        </w:rPr>
        <w:drawing>
          <wp:inline distT="0" distB="0" distL="114300" distR="114300">
            <wp:extent cx="4473575" cy="3559175"/>
            <wp:effectExtent l="0" t="0" r="9525" b="9525"/>
            <wp:docPr id="6" name="图片 6" descr="peak_annual ccuma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eak_annual ccumalative"/>
                    <pic:cNvPicPr>
                      <a:picLocks noChangeAspect="1"/>
                    </pic:cNvPicPr>
                  </pic:nvPicPr>
                  <pic:blipFill>
                    <a:blip r:embed="rId11"/>
                    <a:srcRect l="4576" t="8025" r="10596" b="3777"/>
                    <a:stretch>
                      <a:fillRect/>
                    </a:stretch>
                  </pic:blipFill>
                  <pic:spPr>
                    <a:xfrm>
                      <a:off x="0" y="0"/>
                      <a:ext cx="4473575" cy="3559175"/>
                    </a:xfrm>
                    <a:prstGeom prst="rect">
                      <a:avLst/>
                    </a:prstGeom>
                  </pic:spPr>
                </pic:pic>
              </a:graphicData>
            </a:graphic>
          </wp:inline>
        </w:drawing>
      </w:r>
    </w:p>
    <w:p>
      <w:pPr>
        <w:spacing w:line="360" w:lineRule="auto"/>
        <w:rPr>
          <w:rStyle w:val="8"/>
          <w:rFonts w:hint="eastAsia" w:ascii="Times New Roman" w:hAnsi="Times New Roman"/>
          <w:sz w:val="22"/>
          <w:lang w:val="en-US" w:eastAsia="zh-CN"/>
        </w:rPr>
      </w:pPr>
      <w:r>
        <w:rPr>
          <w:rStyle w:val="8"/>
          <w:rFonts w:hint="eastAsia" w:ascii="Times New Roman" w:hAnsi="Times New Roman"/>
          <w:b/>
          <w:bCs/>
          <w:sz w:val="22"/>
          <w:lang w:val="en-US" w:eastAsia="zh-CN"/>
        </w:rPr>
        <w:t>Figure S6</w:t>
      </w:r>
      <w:r>
        <w:rPr>
          <w:rStyle w:val="8"/>
          <w:rFonts w:hint="eastAsia" w:ascii="Times New Roman" w:hAnsi="Times New Roman"/>
          <w:sz w:val="22"/>
          <w:lang w:val="en-US" w:eastAsia="zh-CN"/>
        </w:rPr>
        <w:t xml:space="preserve">. Using the automatic </w:t>
      </w:r>
      <w:r>
        <w:rPr>
          <w:rStyle w:val="8"/>
          <w:rFonts w:hint="default" w:ascii="Times New Roman" w:hAnsi="Times New Roman"/>
          <w:sz w:val="22"/>
          <w:lang w:val="en-US" w:eastAsia="zh-CN"/>
        </w:rPr>
        <w:t>‘</w:t>
      </w:r>
      <w:r>
        <w:rPr>
          <w:rStyle w:val="8"/>
          <w:rFonts w:hint="eastAsia" w:ascii="Times New Roman" w:hAnsi="Times New Roman"/>
          <w:sz w:val="22"/>
          <w:lang w:val="en-US" w:eastAsia="zh-CN"/>
        </w:rPr>
        <w:t>findpeaks</w:t>
      </w:r>
      <w:r>
        <w:rPr>
          <w:rStyle w:val="8"/>
          <w:rFonts w:hint="default" w:ascii="Times New Roman" w:hAnsi="Times New Roman"/>
          <w:sz w:val="22"/>
          <w:lang w:val="en-US" w:eastAsia="zh-CN"/>
        </w:rPr>
        <w:t>’</w:t>
      </w:r>
      <w:r>
        <w:rPr>
          <w:rStyle w:val="8"/>
          <w:rFonts w:hint="eastAsia" w:ascii="Times New Roman" w:hAnsi="Times New Roman"/>
          <w:sz w:val="22"/>
          <w:lang w:val="en-US" w:eastAsia="zh-CN"/>
        </w:rPr>
        <w:t xml:space="preserve"> tool that provided by Origin software (version 7.0) (OriginLab), we detected 154 positive peaks from top 66.78 m (53.57 we m) record. The depth intervals between these peaks were also calculated, then we took a 10-point moving average to them and plotted results on depth scale that shown in Figure S7. The annual cumulative mass (red line) and its uncertainty intervals that calculated based on the 2p model are also plotted.</w:t>
      </w:r>
    </w:p>
    <w:p>
      <w:pPr>
        <w:rPr>
          <w:rFonts w:hint="eastAsia" w:ascii="Times New Roman" w:hAnsi="Times New Roman" w:cs="Times New Roman" w:eastAsiaTheme="minorEastAsia"/>
          <w:bCs/>
          <w:lang w:eastAsia="zh-CN"/>
        </w:rPr>
      </w:pPr>
    </w:p>
    <w:p>
      <w:pPr>
        <w:rPr>
          <w:rFonts w:hint="eastAsia" w:ascii="Times New Roman" w:hAnsi="Times New Roman" w:cs="Times New Roman" w:eastAsiaTheme="minorEastAsia"/>
          <w:bCs/>
          <w:lang w:eastAsia="zh-CN"/>
        </w:rPr>
      </w:pPr>
    </w:p>
    <w:p>
      <w:pPr>
        <w:rPr>
          <w:rFonts w:asciiTheme="minorHAnsi" w:hAnsiTheme="minorHAnsi" w:eastAsiaTheme="minorEastAsia" w:cstheme="minorBidi"/>
          <w:kern w:val="2"/>
          <w:szCs w:val="24"/>
          <w:lang w:val="en-US" w:eastAsia="zh-CN" w:bidi="ar-SA"/>
        </w:rPr>
      </w:pPr>
      <w:r>
        <w:rPr>
          <w:rFonts w:hint="eastAsia" w:ascii="Times New Roman" w:hAnsi="Times New Roman" w:cs="Times New Roman" w:eastAsiaTheme="minorEastAsia"/>
          <w:bCs/>
          <w:lang w:eastAsia="zh-CN"/>
        </w:rPr>
        <w:fldChar w:fldCharType="begin"/>
      </w:r>
      <w:r>
        <w:rPr>
          <w:rFonts w:hint="eastAsia" w:ascii="Times New Roman" w:hAnsi="Times New Roman" w:cs="Times New Roman"/>
          <w:bCs/>
          <w:lang w:eastAsia="zh-CN"/>
        </w:rPr>
        <w:instrText xml:space="preserve"> ADDIN  EN.REFLIST </w:instrText>
      </w:r>
      <w:r>
        <w:rPr>
          <w:rFonts w:hint="eastAsia" w:ascii="Times New Roman" w:hAnsi="Times New Roman" w:cs="Times New Roman" w:eastAsiaTheme="minorEastAsia"/>
          <w:bCs/>
          <w:lang w:eastAsia="zh-CN"/>
        </w:rPr>
        <w:fldChar w:fldCharType="separate"/>
      </w:r>
    </w:p>
    <w:p>
      <w:pPr>
        <w:rPr>
          <w:rFonts w:hint="eastAsia" w:ascii="Times New Roman" w:hAnsi="Times New Roman" w:cs="Times New Roman" w:eastAsiaTheme="minorEastAsia"/>
          <w:bCs/>
          <w:lang w:eastAsia="zh-CN"/>
        </w:rPr>
      </w:pPr>
      <w:r>
        <w:rPr>
          <w:rFonts w:hint="eastAsia" w:ascii="Times New Roman" w:hAnsi="Times New Roman" w:cs="Times New Roman" w:eastAsiaTheme="minorEastAsia"/>
          <w:bCs/>
          <w:lang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vT108">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ology&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arxv9rzs2zx2efaes520eutf0d2pxw5rsd&quot;&gt;2k TAC&lt;record-ids&gt;&lt;item&gt;113&lt;/item&gt;&lt;/record-ids&gt;&lt;/item&gt;&lt;/Libraries&gt;"/>
  </w:docVars>
  <w:rsids>
    <w:rsidRoot w:val="18CA2EEB"/>
    <w:rsid w:val="00101A7E"/>
    <w:rsid w:val="006046E6"/>
    <w:rsid w:val="00B40774"/>
    <w:rsid w:val="00FA6F90"/>
    <w:rsid w:val="0920199A"/>
    <w:rsid w:val="0A331D84"/>
    <w:rsid w:val="135C546E"/>
    <w:rsid w:val="176C3B02"/>
    <w:rsid w:val="18CA2EEB"/>
    <w:rsid w:val="2615608D"/>
    <w:rsid w:val="363E1D91"/>
    <w:rsid w:val="44D9408B"/>
    <w:rsid w:val="4C2A7050"/>
    <w:rsid w:val="4E8E3392"/>
    <w:rsid w:val="4F186D36"/>
    <w:rsid w:val="546A634B"/>
    <w:rsid w:val="642471FC"/>
    <w:rsid w:val="653D2D83"/>
    <w:rsid w:val="656B5B4F"/>
    <w:rsid w:val="6A4A0FB5"/>
    <w:rsid w:val="76A4050E"/>
    <w:rsid w:val="77FB2F07"/>
    <w:rsid w:val="7CBA37C0"/>
    <w:rsid w:val="7ED5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uiPriority w:val="0"/>
    <w:pPr>
      <w:jc w:val="left"/>
    </w:pPr>
  </w:style>
  <w:style w:type="paragraph" w:styleId="3">
    <w:name w:val="Balloon Text"/>
    <w:basedOn w:val="1"/>
    <w:link w:val="13"/>
    <w:qFormat/>
    <w:uiPriority w:val="0"/>
    <w:rPr>
      <w:sz w:val="18"/>
      <w:szCs w:val="18"/>
    </w:rPr>
  </w:style>
  <w:style w:type="paragraph" w:styleId="4">
    <w:name w:val="annotation subject"/>
    <w:basedOn w:val="2"/>
    <w:next w:val="2"/>
    <w:link w:val="12"/>
    <w:qFormat/>
    <w:uiPriority w:val="0"/>
    <w:rPr>
      <w:b/>
      <w:bCs/>
    </w:rPr>
  </w:style>
  <w:style w:type="character" w:styleId="7">
    <w:name w:val="annotation reference"/>
    <w:basedOn w:val="6"/>
    <w:uiPriority w:val="0"/>
    <w:rPr>
      <w:sz w:val="21"/>
      <w:szCs w:val="21"/>
    </w:rPr>
  </w:style>
  <w:style w:type="character" w:customStyle="1" w:styleId="8">
    <w:name w:val="fontstyle01"/>
    <w:basedOn w:val="6"/>
    <w:qFormat/>
    <w:uiPriority w:val="0"/>
    <w:rPr>
      <w:rFonts w:hint="default" w:ascii="AdvT108" w:hAnsi="AdvT108"/>
      <w:color w:val="000000"/>
      <w:sz w:val="20"/>
      <w:szCs w:val="20"/>
    </w:rPr>
  </w:style>
  <w:style w:type="paragraph" w:customStyle="1" w:styleId="9">
    <w:name w:val="EndNote Bibliography Title"/>
    <w:qFormat/>
    <w:uiPriority w:val="0"/>
    <w:pPr>
      <w:jc w:val="center"/>
    </w:pPr>
    <w:rPr>
      <w:rFonts w:asciiTheme="minorHAnsi" w:hAnsiTheme="minorHAnsi" w:eastAsiaTheme="minorEastAsia" w:cstheme="minorBidi"/>
      <w:kern w:val="2"/>
      <w:szCs w:val="24"/>
      <w:lang w:val="en-US" w:eastAsia="zh-CN" w:bidi="ar-SA"/>
    </w:rPr>
  </w:style>
  <w:style w:type="paragraph" w:customStyle="1" w:styleId="10">
    <w:name w:val="EndNote Bibliography"/>
    <w:qFormat/>
    <w:uiPriority w:val="0"/>
    <w:pPr>
      <w:jc w:val="both"/>
    </w:pPr>
    <w:rPr>
      <w:rFonts w:asciiTheme="minorHAnsi" w:hAnsiTheme="minorHAnsi" w:eastAsiaTheme="minorEastAsia" w:cstheme="minorBidi"/>
      <w:kern w:val="2"/>
      <w:szCs w:val="24"/>
      <w:lang w:val="en-US" w:eastAsia="zh-CN" w:bidi="ar-SA"/>
    </w:rPr>
  </w:style>
  <w:style w:type="character" w:customStyle="1" w:styleId="11">
    <w:name w:val="批注文字 字符"/>
    <w:basedOn w:val="6"/>
    <w:link w:val="2"/>
    <w:qFormat/>
    <w:uiPriority w:val="0"/>
    <w:rPr>
      <w:rFonts w:asciiTheme="minorHAnsi" w:hAnsiTheme="minorHAnsi" w:eastAsiaTheme="minorEastAsia" w:cstheme="minorBidi"/>
      <w:kern w:val="2"/>
      <w:sz w:val="21"/>
      <w:szCs w:val="24"/>
    </w:rPr>
  </w:style>
  <w:style w:type="character" w:customStyle="1" w:styleId="12">
    <w:name w:val="批注主题 字符"/>
    <w:basedOn w:val="11"/>
    <w:link w:val="4"/>
    <w:qFormat/>
    <w:uiPriority w:val="0"/>
    <w:rPr>
      <w:rFonts w:asciiTheme="minorHAnsi" w:hAnsiTheme="minorHAnsi" w:eastAsiaTheme="minorEastAsia" w:cstheme="minorBidi"/>
      <w:b/>
      <w:bCs/>
      <w:kern w:val="2"/>
      <w:sz w:val="21"/>
      <w:szCs w:val="24"/>
    </w:rPr>
  </w:style>
  <w:style w:type="character" w:customStyle="1" w:styleId="13">
    <w:name w:val="批注框文本 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19BBA1-4B15-4452-AAB7-5AA21D21DB86}">
  <ds:schemaRefs/>
</ds:datastoreItem>
</file>

<file path=docProps/app.xml><?xml version="1.0" encoding="utf-8"?>
<Properties xmlns="http://schemas.openxmlformats.org/officeDocument/2006/extended-properties" xmlns:vt="http://schemas.openxmlformats.org/officeDocument/2006/docPropsVTypes">
  <Template>Normal</Template>
  <Pages>8</Pages>
  <Words>830</Words>
  <Characters>4732</Characters>
  <Lines>39</Lines>
  <Paragraphs>11</Paragraphs>
  <TotalTime>18</TotalTime>
  <ScaleCrop>false</ScaleCrop>
  <LinksUpToDate>false</LinksUpToDate>
  <CharactersWithSpaces>5551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2020-07-18T13:01:00Z</dcterms:created>
  <dc:creator>张大华</dc:creator>
  <cp:lastModifiedBy>86199</cp:lastModifiedBy>
  <dcterms:modified xsi:type="dcterms:W3CDTF">2020-08-12T05:32:09Z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