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Health-related emoji coverage</w:t>
      </w:r>
    </w:p>
    <w:p>
      <w:pPr>
        <w:pStyle w:val="SourceCode"/>
      </w:pPr>
      <w:r>
        <w:rPr>
          <w:rStyle w:val="VerbatimChar"/>
        </w:rPr>
        <w:t xml:space="preserve">Title:  Health-related emoji coverage</w:t>
      </w:r>
      <w:r>
        <w:br/>
      </w:r>
      <w:r>
        <w:rPr>
          <w:rStyle w:val="VerbatimChar"/>
        </w:rPr>
        <w:t xml:space="preserve">Authors: David Rhew; Heena Purohit; Shuhan He</w:t>
      </w:r>
      <w:r>
        <w:br/>
      </w:r>
      <w:r>
        <w:rPr>
          <w:rStyle w:val="VerbatimChar"/>
        </w:rPr>
        <w:t xml:space="preserve">Date:   2026-07-13</w:t>
      </w:r>
      <w:r>
        <w:br/>
      </w:r>
      <w:r>
        <w:rPr>
          <w:rStyle w:val="VerbatimChar"/>
        </w:rPr>
        <w:t xml:space="preserve">Action: Refer to the Emoji Standard &amp; Research Working Group</w:t>
      </w:r>
      <w:r>
        <w:br/>
      </w:r>
      <w:r>
        <w:rPr>
          <w:rStyle w:val="VerbatimChar"/>
        </w:rPr>
        <w:t xml:space="preserve">        for review and recommendation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Unicode already includes health-related emoji across anatomy, diagnostics, laboratory science, medication,</w:t>
      </w:r>
      <w:r>
        <w:t xml:space="preserve"> </w:t>
      </w:r>
      <w:r>
        <w:t xml:space="preserve">emergency care, and clinical equipment. Proposals are reviewed individually, but the same practical questions</w:t>
      </w:r>
      <w:r>
        <w:t xml:space="preserve"> </w:t>
      </w:r>
      <w:r>
        <w:t xml:space="preserve">recur: adequacy of substitutes, visual distinction at emoji size, expected usage, and open-endedness.</w:t>
      </w:r>
    </w:p>
    <w:p>
      <w:pPr>
        <w:pStyle w:val="BodyText"/>
      </w:pPr>
      <w:r>
        <w:t xml:space="preserve">We ask the Unicode Technical Committee (UTC) to refer these issues to the Emoji Standard &amp; Research Working</w:t>
      </w:r>
      <w:r>
        <w:t xml:space="preserve"> </w:t>
      </w:r>
      <w:r>
        <w:t xml:space="preserve">Group (ESR). ESR could examine how easily users can find existing health-related emoji and whether the</w:t>
      </w:r>
      <w:r>
        <w:t xml:space="preserve"> </w:t>
      </w:r>
      <w:r>
        <w:t xml:space="preserve">published guidance adequately addresses medically distinct but visually similar concepts. A referral would not</w:t>
      </w:r>
      <w:r>
        <w:t xml:space="preserve"> </w:t>
      </w:r>
      <w:r>
        <w:t xml:space="preserve">change the proposal process. Every new emoji would still require a complete submission through the official</w:t>
      </w:r>
      <w:r>
        <w:t xml:space="preserve"> </w:t>
      </w:r>
      <w:r>
        <w:t xml:space="preserve">Emoji Submission Form.</w:t>
      </w:r>
    </w:p>
    <w:bookmarkEnd w:id="9"/>
    <w:bookmarkStart w:id="10" w:name="questions-for-review"/>
    <w:p>
      <w:pPr>
        <w:pStyle w:val="Heading1"/>
      </w:pPr>
      <w:r>
        <w:t xml:space="preserve">Questions for review</w:t>
      </w:r>
    </w:p>
    <w:p>
      <w:pPr>
        <w:pStyle w:val="Compact"/>
        <w:numPr>
          <w:ilvl w:val="0"/>
          <w:numId w:val="1001"/>
        </w:numPr>
      </w:pPr>
      <w:r>
        <w:t xml:space="preserve">Would considering related health emoji together help ESR assess existing substitutes and closely related</w:t>
      </w:r>
      <w:r>
        <w:t xml:space="preserve"> </w:t>
      </w:r>
      <w:r>
        <w:t xml:space="preserve">proposals more consistently?</w:t>
      </w:r>
    </w:p>
    <w:p>
      <w:pPr>
        <w:pStyle w:val="Compact"/>
        <w:numPr>
          <w:ilvl w:val="0"/>
          <w:numId w:val="1001"/>
        </w:numPr>
      </w:pPr>
      <w:r>
        <w:t xml:space="preserve">Can users readily find common health-related emoji by name, keyword, ordering, or vendor keyboard placement?</w:t>
      </w:r>
      <w:r>
        <w:t xml:space="preserve"> </w:t>
      </w:r>
      <w:r>
        <w:t xml:space="preserve">If not, which standards body or platform team should address the problem?</w:t>
      </w:r>
    </w:p>
    <w:p>
      <w:pPr>
        <w:pStyle w:val="Compact"/>
        <w:numPr>
          <w:ilvl w:val="0"/>
          <w:numId w:val="1001"/>
        </w:numPr>
      </w:pPr>
      <w:r>
        <w:t xml:space="preserve">Does the published guidance adequately address concepts that are medically distinct but may look similar at</w:t>
      </w:r>
      <w:r>
        <w:t xml:space="preserve"> </w:t>
      </w:r>
      <w:r>
        <w:t xml:space="preserve">emoji size, such as Blood Bag and IV Bag or Pill Box and Pill Pack?</w:t>
      </w:r>
    </w:p>
    <w:p>
      <w:pPr>
        <w:pStyle w:val="Compact"/>
        <w:numPr>
          <w:ilvl w:val="0"/>
          <w:numId w:val="1001"/>
        </w:numPr>
      </w:pPr>
      <w:r>
        <w:t xml:space="preserve">Would a short public note help submitters address recognition at small sizes, black-and-white legibility, and</w:t>
      </w:r>
      <w:r>
        <w:t xml:space="preserve"> </w:t>
      </w:r>
      <w:r>
        <w:t xml:space="preserve">category-completion arguments?</w:t>
      </w:r>
    </w:p>
    <w:p>
      <w:pPr>
        <w:pStyle w:val="Compact"/>
        <w:numPr>
          <w:ilvl w:val="0"/>
          <w:numId w:val="1001"/>
        </w:numPr>
      </w:pPr>
      <w:r>
        <w:t xml:space="preserve">If these issues are already covered, which guidance should submitters follow?</w:t>
      </w:r>
    </w:p>
    <w:bookmarkEnd w:id="10"/>
    <w:bookmarkStart w:id="11" w:name="why-now"/>
    <w:p>
      <w:pPr>
        <w:pStyle w:val="Heading1"/>
      </w:pPr>
      <w:r>
        <w:t xml:space="preserve">Why now</w:t>
      </w:r>
    </w:p>
    <w:p>
      <w:pPr>
        <w:pStyle w:val="FirstParagraph"/>
      </w:pPr>
      <w:r>
        <w:t xml:space="preserve">Health-related emoji are distributed across the current Unicode Emoji Ordering: medical objects (Syringe,</w:t>
      </w:r>
      <w:r>
        <w:t xml:space="preserve"> </w:t>
      </w:r>
      <w:r>
        <w:t xml:space="preserve">Pill, Drop of Blood, Adhesive Bandage, Stethoscope, X-Ray, Crutch), body parts (Anatomical Heart, Lungs,</w:t>
      </w:r>
      <w:r>
        <w:t xml:space="preserve"> </w:t>
      </w:r>
      <w:r>
        <w:t xml:space="preserve">Brain), science (Test Tube, Petri Dish, DNA), Travel &amp; Places (Hospital, Ambulance), and Symbols (Medical</w:t>
      </w:r>
      <w:r>
        <w:t xml:space="preserve"> </w:t>
      </w:r>
      <w:r>
        <w:t xml:space="preserve">Symbol, Wheelchair Symbol). We are not proposing to move any of them. The requested review would consider</w:t>
      </w:r>
      <w:r>
        <w:t xml:space="preserve"> </w:t>
      </w:r>
      <w:r>
        <w:t xml:space="preserve">what this distribution means for discoverability, existing substitutes, and the treatment of closely related</w:t>
      </w:r>
      <w:r>
        <w:t xml:space="preserve"> </w:t>
      </w:r>
      <w:r>
        <w:t xml:space="preserve">proposals.</w:t>
      </w:r>
    </w:p>
    <w:p>
      <w:pPr>
        <w:pStyle w:val="BodyText"/>
      </w:pPr>
      <w:r>
        <w:t xml:space="preserve">These examples are the baseline for this review: health-related emoji already include medical objects,</w:t>
      </w:r>
      <w:r>
        <w:t xml:space="preserve"> </w:t>
      </w:r>
      <w:r>
        <w:t xml:space="preserve">anatomy, laboratory science, care settings, emergency transport, accessibility symbols, and health symbols.</w:t>
      </w:r>
      <w:r>
        <w:t xml:space="preserve"> </w:t>
      </w:r>
      <w:r>
        <w:t xml:space="preserve">The question is whether that baseline is clear enough for users and for submitters proposing nearby concepts.</w:t>
      </w:r>
    </w:p>
    <w:p>
      <w:pPr>
        <w:pStyle w:val="BodyText"/>
      </w:pPr>
      <w:r>
        <w:t xml:space="preserve">Health communication has also moved further into everyday digital channels. Pew Research Center reported in</w:t>
      </w:r>
      <w:r>
        <w:t xml:space="preserve"> </w:t>
      </w:r>
      <w:r>
        <w:t xml:space="preserve">2026 that 52% of U.S. adults under 30 get health information from social media at least sometimes; McKinsey’s</w:t>
      </w:r>
      <w:r>
        <w:t xml:space="preserve"> </w:t>
      </w:r>
      <w:r>
        <w:t xml:space="preserve">2025 Future of Wellness survey reported that nearly 30% of U.S. Gen Z and millennial respondents were</w:t>
      </w:r>
      <w:r>
        <w:t xml:space="preserve"> </w:t>
      </w:r>
      <w:r>
        <w:t xml:space="preserve">prioritizing wellness</w:t>
      </w:r>
      <w:r>
        <w:t xml:space="preserve"> </w:t>
      </w:r>
      <w:r>
        <w:t xml:space="preserve">“a lot more”</w:t>
      </w:r>
      <w:r>
        <w:t xml:space="preserve"> </w:t>
      </w:r>
      <w:r>
        <w:t xml:space="preserve">than one year earlier; and a 2026 Nature Health study of more than 500,000</w:t>
      </w:r>
      <w:r>
        <w:t xml:space="preserve"> </w:t>
      </w:r>
      <w:r>
        <w:t xml:space="preserve">de-identified Microsoft Copilot health conversations reported that nearly one in five conversations involved</w:t>
      </w:r>
      <w:r>
        <w:t xml:space="preserve"> </w:t>
      </w:r>
      <w:r>
        <w:t xml:space="preserve">personal symptom assessment or condition discussion, and that one in seven personal health queries concerned</w:t>
      </w:r>
      <w:r>
        <w:t xml:space="preserve"> </w:t>
      </w:r>
      <w:r>
        <w:t xml:space="preserve">someone other than the user. These trends do not support any particular emoji. They do show why users may</w:t>
      </w:r>
      <w:r>
        <w:t xml:space="preserve"> </w:t>
      </w:r>
      <w:r>
        <w:t xml:space="preserve">increasingly expect common health concepts to be represented in the same interoperable visual vocabulary used</w:t>
      </w:r>
      <w:r>
        <w:t xml:space="preserve"> </w:t>
      </w:r>
      <w:r>
        <w:t xml:space="preserve">for daily communication.</w:t>
      </w:r>
    </w:p>
    <w:p>
      <w:pPr>
        <w:pStyle w:val="BodyText"/>
      </w:pPr>
      <w:r>
        <w:t xml:space="preserve">Every proposal must address Unicode’s published inclusion and exclusion factors, including distinctiveness,</w:t>
      </w:r>
      <w:r>
        <w:t xml:space="preserve"> </w:t>
      </w:r>
      <w:r>
        <w:t xml:space="preserve">expected usage, and whether an existing emoji or sequence already represents the concept. The proposed image</w:t>
      </w:r>
      <w:r>
        <w:t xml:space="preserve"> </w:t>
      </w:r>
      <w:r>
        <w:t xml:space="preserve">must also remain recognizable at emoji size.</w:t>
      </w:r>
    </w:p>
    <w:p>
      <w:pPr>
        <w:pStyle w:val="BodyText"/>
      </w:pPr>
      <w:r>
        <w:t xml:space="preserve">The 2026 process separates emoji proposals from UTC discussion documents: new emoji go through the Emoji</w:t>
      </w:r>
      <w:r>
        <w:t xml:space="preserve"> </w:t>
      </w:r>
      <w:r>
        <w:t xml:space="preserve">Submission Form; a discussion document follows Unicode’s separate document submission process and may be</w:t>
      </w:r>
      <w:r>
        <w:t xml:space="preserve"> </w:t>
      </w:r>
      <w:r>
        <w:t xml:space="preserve">placed on a UTC agenda or referred to a working group.</w:t>
      </w:r>
    </w:p>
    <w:bookmarkEnd w:id="11"/>
    <w:bookmarkStart w:id="17" w:name="related-history"/>
    <w:p>
      <w:pPr>
        <w:pStyle w:val="Heading1"/>
      </w:pPr>
      <w:r>
        <w:t xml:space="preserve">Related history</w:t>
      </w:r>
    </w:p>
    <w:bookmarkStart w:id="13" w:name="apples-2018-accessibility-proposal"/>
    <w:p>
      <w:pPr>
        <w:pStyle w:val="Heading2"/>
      </w:pPr>
      <w:r>
        <w:t xml:space="preserve">Apple’s 2018 accessibility proposal</w:t>
      </w:r>
    </w:p>
    <w:p>
      <w:pPr>
        <w:pStyle w:val="FirstParagraph"/>
      </w:pPr>
      <w:r>
        <w:t xml:space="preserve">Apple’s L2/18-080 proposed nine accessibility emoji in four areas: Blind and Low Vision, Deaf and Hard of</w:t>
      </w:r>
      <w:r>
        <w:t xml:space="preserve"> </w:t>
      </w:r>
      <w:r>
        <w:t xml:space="preserve">Hearing, Physical Motor, and Hidden Disabilities. Apple presented the set as a finite starting point rather</w:t>
      </w:r>
      <w:r>
        <w:t xml:space="preserve"> </w:t>
      </w:r>
      <w:r>
        <w:t xml:space="preserve">than a comprehensive catalogue. Apple worked with disability organizations and addressed Unicode’s open-ended</w:t>
      </w:r>
      <w:r>
        <w:t xml:space="preserve"> </w:t>
      </w:r>
      <w:r>
        <w:t xml:space="preserve">exclusion factor directly.</w:t>
      </w:r>
    </w:p>
    <w:p>
      <w:pPr>
        <w:pStyle w:val="BodyText"/>
      </w:pPr>
      <w:r>
        <w:t xml:space="preserve">Apple submitted the nine related concepts together under the emoji-proposal process in effect in 2018. Under</w:t>
      </w:r>
      <w:r>
        <w:t xml:space="preserve"> </w:t>
      </w:r>
      <w:r>
        <w:t xml:space="preserve">the 2026 guidance, each candidate must be submitted through the official form and evaluated on its own evidence.</w:t>
      </w:r>
    </w:p>
    <w:p>
      <w:pPr>
        <w:pStyle w:val="BodyText"/>
      </w:pPr>
      <w:r>
        <w:t xml:space="preserve">Source:</w:t>
      </w:r>
      <w:r>
        <w:t xml:space="preserve"> </w:t>
      </w:r>
      <w:hyperlink r:id="rId12">
        <w:r>
          <w:rPr>
            <w:rStyle w:val="Hyperlink"/>
          </w:rPr>
          <w:t xml:space="preserve">https://www.unicode.org/L2/L2018/18080-accessibility-emoji.pdf</w:t>
        </w:r>
      </w:hyperlink>
    </w:p>
    <w:bookmarkEnd w:id="13"/>
    <w:bookmarkStart w:id="16" w:name="anatomical-heart-and-lungs"/>
    <w:p>
      <w:pPr>
        <w:pStyle w:val="Heading2"/>
      </w:pPr>
      <w:r>
        <w:t xml:space="preserve">Anatomical Heart and Lungs</w:t>
      </w:r>
    </w:p>
    <w:p>
      <w:pPr>
        <w:pStyle w:val="FirstParagraph"/>
      </w:pPr>
      <w:r>
        <w:t xml:space="preserve">In 2019, Christian Kamkoff, Shuhan He, and Melissa Thermidor submitted separate proposals for Anatomical Heart</w:t>
      </w:r>
      <w:r>
        <w:t xml:space="preserve"> </w:t>
      </w:r>
      <w:r>
        <w:t xml:space="preserve">and Lungs. Unicode later encoded both characters. The proposals were related, but each made its own case.</w:t>
      </w:r>
    </w:p>
    <w:p>
      <w:pPr>
        <w:pStyle w:val="BodyText"/>
      </w:pPr>
      <w:r>
        <w:t xml:space="preserve">Sources: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https://www.unicode.org/L2/L2019/19149-lung-emoji.pdf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https://www.unicode.org/L2/L2019/19150-heart-emoji.pdf</w:t>
        </w:r>
      </w:hyperlink>
    </w:p>
    <w:bookmarkEnd w:id="16"/>
    <w:bookmarkEnd w:id="17"/>
    <w:bookmarkStart w:id="18" w:name="scope-of-the-review"/>
    <w:p>
      <w:pPr>
        <w:pStyle w:val="Heading1"/>
      </w:pPr>
      <w:r>
        <w:t xml:space="preserve">Scope of the review</w:t>
      </w:r>
    </w:p>
    <w:p>
      <w:pPr>
        <w:pStyle w:val="FirstParagraph"/>
      </w:pPr>
      <w:r>
        <w:t xml:space="preserve">We suggest six topics for the review. They are not proposed keyboard categories.</w:t>
      </w:r>
    </w:p>
    <w:p>
      <w:pPr>
        <w:pStyle w:val="Compact"/>
        <w:numPr>
          <w:ilvl w:val="0"/>
          <w:numId w:val="1003"/>
        </w:numPr>
      </w:pPr>
      <w:r>
        <w:t xml:space="preserve">Anatomy: How should internal-organ proposals address category completion and open-endedness?</w:t>
      </w:r>
    </w:p>
    <w:p>
      <w:pPr>
        <w:pStyle w:val="Compact"/>
        <w:numPr>
          <w:ilvl w:val="0"/>
          <w:numId w:val="1003"/>
        </w:numPr>
      </w:pPr>
      <w:r>
        <w:t xml:space="preserve">Diagnostics: When would CT Scan, Ultrasound, or another modality represent a procedure or object that X-Ray</w:t>
      </w:r>
      <w:r>
        <w:t xml:space="preserve"> </w:t>
      </w:r>
      <w:r>
        <w:t xml:space="preserve">and Stethoscope do not adequately convey?</w:t>
      </w:r>
    </w:p>
    <w:p>
      <w:pPr>
        <w:pStyle w:val="Compact"/>
        <w:numPr>
          <w:ilvl w:val="0"/>
          <w:numId w:val="1003"/>
        </w:numPr>
      </w:pPr>
      <w:r>
        <w:t xml:space="preserve">Laboratory science: How should proposals address visual overlap among cells, microbes, specimens, and</w:t>
      </w:r>
      <w:r>
        <w:t xml:space="preserve"> </w:t>
      </w:r>
      <w:r>
        <w:t xml:space="preserve">equipment?</w:t>
      </w:r>
    </w:p>
    <w:p>
      <w:pPr>
        <w:pStyle w:val="Compact"/>
        <w:numPr>
          <w:ilvl w:val="0"/>
          <w:numId w:val="1003"/>
        </w:numPr>
      </w:pPr>
      <w:r>
        <w:t xml:space="preserve">Medication: How should proposals for organizers, packaging, delivery devices, or adherence concepts establish</w:t>
      </w:r>
      <w:r>
        <w:t xml:space="preserve"> </w:t>
      </w:r>
      <w:r>
        <w:t xml:space="preserve">that they are distinct from Pill and Syringe?</w:t>
      </w:r>
    </w:p>
    <w:p>
      <w:pPr>
        <w:pStyle w:val="Compact"/>
        <w:numPr>
          <w:ilvl w:val="0"/>
          <w:numId w:val="1003"/>
        </w:numPr>
      </w:pPr>
      <w:r>
        <w:t xml:space="preserve">Emergency care: When would an additional object support a broad communication need not met by Adhesive</w:t>
      </w:r>
      <w:r>
        <w:t xml:space="preserve"> </w:t>
      </w:r>
      <w:r>
        <w:t xml:space="preserve">Bandage, Crutch, Ambulance, or Hospital?</w:t>
      </w:r>
    </w:p>
    <w:p>
      <w:pPr>
        <w:pStyle w:val="Compact"/>
        <w:numPr>
          <w:ilvl w:val="0"/>
          <w:numId w:val="1003"/>
        </w:numPr>
      </w:pPr>
      <w:r>
        <w:t xml:space="preserve">Clinical equipment: Which designs remain recognizable at small sizes, work without color, and avoid overlap</w:t>
      </w:r>
      <w:r>
        <w:t xml:space="preserve"> </w:t>
      </w:r>
      <w:r>
        <w:t xml:space="preserve">with other equipment silhouettes?</w:t>
      </w:r>
    </w:p>
    <w:p>
      <w:pPr>
        <w:pStyle w:val="FirstParagraph"/>
      </w:pPr>
      <w:r>
        <w:t xml:space="preserve">A gap alone would not warrant a character, and this document does not propose a top-level Health group.</w:t>
      </w:r>
    </w:p>
    <w:bookmarkEnd w:id="18"/>
    <w:bookmarkStart w:id="19" w:name="relationship-to-individual-proposals"/>
    <w:p>
      <w:pPr>
        <w:pStyle w:val="Heading1"/>
      </w:pPr>
      <w:r>
        <w:t xml:space="preserve">Relationship to individual proposals</w:t>
      </w:r>
    </w:p>
    <w:p>
      <w:pPr>
        <w:pStyle w:val="FirstParagraph"/>
      </w:pPr>
      <w:r>
        <w:t xml:space="preserve">Each candidate needs its own complete submission under the current form and guidelines. Required elements</w:t>
      </w:r>
      <w:r>
        <w:t xml:space="preserve"> </w:t>
      </w:r>
      <w:r>
        <w:t xml:space="preserve">include color and black-and-white images, keywords, category, frequency evidence, all selection factors, an</w:t>
      </w:r>
      <w:r>
        <w:t xml:space="preserve"> </w:t>
      </w:r>
      <w:r>
        <w:t xml:space="preserve">image-rights warranty, and the required license.</w:t>
      </w:r>
    </w:p>
    <w:p>
      <w:pPr>
        <w:pStyle w:val="BodyText"/>
      </w:pPr>
      <w:r>
        <w:t xml:space="preserve">This document does not endorse or oppose any candidate. Each candidate requires a separate decision.</w:t>
      </w:r>
    </w:p>
    <w:bookmarkEnd w:id="19"/>
    <w:bookmarkStart w:id="20" w:name="vendor-input"/>
    <w:p>
      <w:pPr>
        <w:pStyle w:val="Heading1"/>
      </w:pPr>
      <w:r>
        <w:t xml:space="preserve">Vendor input</w:t>
      </w:r>
    </w:p>
    <w:p>
      <w:pPr>
        <w:pStyle w:val="FirstParagraph"/>
      </w:pPr>
      <w:r>
        <w:t xml:space="preserve">Vendors can comment on design and implementation without committing to include a candidate in their products.</w:t>
      </w:r>
      <w:r>
        <w:t xml:space="preserve"> </w:t>
      </w:r>
      <w:r>
        <w:t xml:space="preserve">Relevant questions include recognizability at common emoji sizes, black-and-white legibility,</w:t>
      </w:r>
      <w:r>
        <w:t xml:space="preserve"> </w:t>
      </w:r>
      <w:r>
        <w:t xml:space="preserve">platform-neutral design without text, logos, brands, or other third-party intellectual property, distinction</w:t>
      </w:r>
      <w:r>
        <w:t xml:space="preserve"> </w:t>
      </w:r>
      <w:r>
        <w:t xml:space="preserve">between related concepts, and implementation or interoperability concerns.</w:t>
      </w:r>
    </w:p>
    <w:p>
      <w:pPr>
        <w:pStyle w:val="BodyText"/>
      </w:pPr>
      <w:r>
        <w:t xml:space="preserve">Submitters remain responsible for their evidence, licensing, and the completeness of their proposals.</w:t>
      </w:r>
    </w:p>
    <w:bookmarkEnd w:id="20"/>
    <w:bookmarkStart w:id="21" w:name="requested-action"/>
    <w:p>
      <w:pPr>
        <w:pStyle w:val="Heading1"/>
      </w:pPr>
      <w:r>
        <w:t xml:space="preserve">Requested action</w:t>
      </w:r>
    </w:p>
    <w:p>
      <w:pPr>
        <w:pStyle w:val="FirstParagraph"/>
      </w:pPr>
      <w:r>
        <w:t xml:space="preserve">We ask the UTC to refer this document to ESR for review and recommendation. ESR could advise that the current</w:t>
      </w:r>
      <w:r>
        <w:t xml:space="preserve"> </w:t>
      </w:r>
      <w:r>
        <w:t xml:space="preserve">guidance is sufficient and no further action is needed, or recommend a short public note or focused review.</w:t>
      </w:r>
    </w:p>
    <w:p>
      <w:pPr>
        <w:pStyle w:val="BodyText"/>
      </w:pPr>
      <w:r>
        <w:t xml:space="preserve">We are asking only for referral, not character encoding or bundled approval. Every candidate must still be</w:t>
      </w:r>
      <w:r>
        <w:t xml:space="preserve"> </w:t>
      </w:r>
      <w:r>
        <w:t xml:space="preserve">submitted through the official Emoji Submission Form and reviewed independently under Unicode’s published</w:t>
      </w:r>
      <w:r>
        <w:t xml:space="preserve"> </w:t>
      </w:r>
      <w:r>
        <w:t xml:space="preserve">criteria.</w:t>
      </w:r>
    </w:p>
    <w:bookmarkEnd w:id="21"/>
    <w:bookmarkStart w:id="2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Unicode, Guidelines for Submitting Unicode Emoji Proposals:</w:t>
      </w:r>
      <w:r>
        <w:br/>
      </w:r>
      <w:hyperlink r:id="rId22">
        <w:r>
          <w:rPr>
            <w:rStyle w:val="Hyperlink"/>
          </w:rPr>
          <w:t xml:space="preserve">https://www.unicode.org/emoji/proposals.html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Unicode, Pending Document Submission:</w:t>
      </w:r>
      <w:r>
        <w:br/>
      </w:r>
      <w:hyperlink r:id="rId23">
        <w:r>
          <w:rPr>
            <w:rStyle w:val="Hyperlink"/>
          </w:rPr>
          <w:t xml:space="preserve">https://www.unicode.org/pending/docsubmit.html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Unicode, Emoji Ordering:</w:t>
      </w:r>
      <w:r>
        <w:br/>
      </w:r>
      <w:hyperlink r:id="rId24">
        <w:r>
          <w:rPr>
            <w:rStyle w:val="Hyperlink"/>
          </w:rPr>
          <w:t xml:space="preserve">https://unicode.org/emoji/charts/emoji-ordering.html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Apple, Accessibility Emoji proposal, L2/18-080:</w:t>
      </w:r>
      <w:r>
        <w:br/>
      </w:r>
      <w:hyperlink r:id="rId12">
        <w:r>
          <w:rPr>
            <w:rStyle w:val="Hyperlink"/>
          </w:rPr>
          <w:t xml:space="preserve">https://www.unicode.org/L2/L2018/18080-accessibility-emoji.pdf</w:t>
        </w:r>
      </w:hyperlink>
    </w:p>
    <w:p>
      <w:pPr>
        <w:pStyle w:val="Compact"/>
        <w:numPr>
          <w:ilvl w:val="0"/>
          <w:numId w:val="1004"/>
        </w:numPr>
      </w:pPr>
      <w:r>
        <w:t xml:space="preserve">Pew Research Center, 2026 health information survey:</w:t>
      </w:r>
      <w:r>
        <w:br/>
      </w:r>
      <w:hyperlink r:id="rId25">
        <w:r>
          <w:rPr>
            <w:rStyle w:val="Hyperlink"/>
          </w:rPr>
          <w:t xml:space="preserve">https://www.pewresearch.org/science/2026/04/07/users-of-social-media-and-ai-chatbots-for-health-information-are-more-likely-to-say-they-are-convenient-than-accurate/</w:t>
        </w:r>
      </w:hyperlink>
    </w:p>
    <w:p>
      <w:pPr>
        <w:pStyle w:val="Compact"/>
        <w:numPr>
          <w:ilvl w:val="0"/>
          <w:numId w:val="1004"/>
        </w:numPr>
      </w:pPr>
      <w:r>
        <w:t xml:space="preserve">McKinsey &amp; Company, 2025 Future of Wellness survey:</w:t>
      </w:r>
      <w:r>
        <w:br/>
      </w:r>
      <w:hyperlink r:id="rId26">
        <w:r>
          <w:rPr>
            <w:rStyle w:val="Hyperlink"/>
          </w:rPr>
          <w:t xml:space="preserve">https://www.mckinsey.com/industries/consumer-packaged-goods/our-insights/future-of-wellness-trends</w:t>
        </w:r>
      </w:hyperlink>
    </w:p>
    <w:p>
      <w:pPr>
        <w:pStyle w:val="Compact"/>
        <w:numPr>
          <w:ilvl w:val="0"/>
          <w:numId w:val="1004"/>
        </w:numPr>
      </w:pPr>
      <w:r>
        <w:t xml:space="preserve">Beatriz Costa-Gomes et al., Nature Health (2026):</w:t>
      </w:r>
      <w:r>
        <w:br/>
      </w:r>
      <w:hyperlink r:id="rId27">
        <w:r>
          <w:rPr>
            <w:rStyle w:val="Hyperlink"/>
          </w:rPr>
          <w:t xml:space="preserve">https://www.nature.com/articles/s44360-026-00117-x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unicode.org/emoji/charts/emoji-ordering.html" TargetMode="External" /><Relationship Type="http://schemas.openxmlformats.org/officeDocument/2006/relationships/hyperlink" Id="rId26" Target="https://www.mckinsey.com/industries/consumer-packaged-goods/our-insights/future-of-wellness-trends" TargetMode="External" /><Relationship Type="http://schemas.openxmlformats.org/officeDocument/2006/relationships/hyperlink" Id="rId27" Target="https://www.nature.com/articles/s44360-026-00117-x" TargetMode="External" /><Relationship Type="http://schemas.openxmlformats.org/officeDocument/2006/relationships/hyperlink" Id="rId25" Target="https://www.pewresearch.org/science/2026/04/07/users-of-social-media-and-ai-chatbots-for-health-information-are-more-likely-to-say-they-are-convenient-than-accurate/" TargetMode="External" /><Relationship Type="http://schemas.openxmlformats.org/officeDocument/2006/relationships/hyperlink" Id="rId12" Target="https://www.unicode.org/L2/L2018/18080-accessibility-emoji.pdf" TargetMode="External" /><Relationship Type="http://schemas.openxmlformats.org/officeDocument/2006/relationships/hyperlink" Id="rId14" Target="https://www.unicode.org/L2/L2019/19149-lung-emoji.pdf" TargetMode="External" /><Relationship Type="http://schemas.openxmlformats.org/officeDocument/2006/relationships/hyperlink" Id="rId15" Target="https://www.unicode.org/L2/L2019/19150-heart-emoji.pdf" TargetMode="External" /><Relationship Type="http://schemas.openxmlformats.org/officeDocument/2006/relationships/hyperlink" Id="rId22" Target="https://www.unicode.org/emoji/proposals.html" TargetMode="External" /><Relationship Type="http://schemas.openxmlformats.org/officeDocument/2006/relationships/hyperlink" Id="rId23" Target="https://www.unicode.org/pending/docsubmi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unicode.org/emoji/charts/emoji-ordering.html" TargetMode="External" /><Relationship Type="http://schemas.openxmlformats.org/officeDocument/2006/relationships/hyperlink" Id="rId26" Target="https://www.mckinsey.com/industries/consumer-packaged-goods/our-insights/future-of-wellness-trends" TargetMode="External" /><Relationship Type="http://schemas.openxmlformats.org/officeDocument/2006/relationships/hyperlink" Id="rId27" Target="https://www.nature.com/articles/s44360-026-00117-x" TargetMode="External" /><Relationship Type="http://schemas.openxmlformats.org/officeDocument/2006/relationships/hyperlink" Id="rId25" Target="https://www.pewresearch.org/science/2026/04/07/users-of-social-media-and-ai-chatbots-for-health-information-are-more-likely-to-say-they-are-convenient-than-accurate/" TargetMode="External" /><Relationship Type="http://schemas.openxmlformats.org/officeDocument/2006/relationships/hyperlink" Id="rId12" Target="https://www.unicode.org/L2/L2018/18080-accessibility-emoji.pdf" TargetMode="External" /><Relationship Type="http://schemas.openxmlformats.org/officeDocument/2006/relationships/hyperlink" Id="rId14" Target="https://www.unicode.org/L2/L2019/19149-lung-emoji.pdf" TargetMode="External" /><Relationship Type="http://schemas.openxmlformats.org/officeDocument/2006/relationships/hyperlink" Id="rId15" Target="https://www.unicode.org/L2/L2019/19150-heart-emoji.pdf" TargetMode="External" /><Relationship Type="http://schemas.openxmlformats.org/officeDocument/2006/relationships/hyperlink" Id="rId22" Target="https://www.unicode.org/emoji/proposals.html" TargetMode="External" /><Relationship Type="http://schemas.openxmlformats.org/officeDocument/2006/relationships/hyperlink" Id="rId23" Target="https://www.unicode.org/pending/docsubmi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Health-related emoji coverage</dc:title>
  <dc:creator/>
  <dc:subject>UTC discussion document on health-related emoji coverage</dc:subject>
  <cp:keywords/>
  <dcterms:created xsi:type="dcterms:W3CDTF">2026-07-13T16:21:23Z</dcterms:created>
  <dcterms:modified xsi:type="dcterms:W3CDTF">2026-07-13T16:21:23Z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David Rhew; Heena Purohit; Shuhan He</vt:lpwstr>
  </property>
  <property fmtid="{D5CDD505-2E9C-101B-9397-08002B2CF9AE}" pid="3" name="colorlinks">
    <vt:lpwstr>False</vt:lpwstr>
  </property>
  <property fmtid="{D5CDD505-2E9C-101B-9397-08002B2CF9AE}" pid="4" name="date-meta">
    <vt:lpwstr>2026-07-13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mainfont">
    <vt:lpwstr>Georgia</vt:lpwstr>
  </property>
  <property fmtid="{D5CDD505-2E9C-101B-9397-08002B2CF9AE}" pid="9" name="numbersections">
    <vt:lpwstr>True</vt:lpwstr>
  </property>
</Properties>
</file>