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2026 Medical Emoji: Microsoft Internal Decision Brief</w:t>
      </w:r>
    </w:p>
    <w:p>
      <w:pPr>
        <w:pStyle w:val="Subtitle"/>
      </w:pPr>
      <w:r>
        <w:t xml:space="preserve">Choose one clearly eligible proposal to advance before July 31</w:t>
      </w:r>
    </w:p>
    <w:p>
      <w:pPr>
        <w:pStyle w:val="Author"/>
      </w:pPr>
      <w:r>
        <w:t xml:space="preserve">Prepared for David Rhew, MD, and Vishal Chowdhary</w:t>
      </w:r>
    </w:p>
    <w:p>
      <w:pPr>
        <w:pStyle w:val="Date"/>
      </w:pPr>
      <w:r>
        <w:t xml:space="preserve">July 13, 2026</w:t>
      </w:r>
    </w:p>
    <w:p>
      <w:pPr>
        <w:pStyle w:val="FirstParagraph"/>
      </w:pPr>
      <w:r>
        <w:rPr>
          <w:b/>
          <w:bCs/>
        </w:rPr>
        <w:t xml:space="preserve">Status:</w:t>
      </w:r>
      <w:r>
        <w:t xml:space="preserve"> </w:t>
      </w:r>
      <w:r>
        <w:t xml:space="preserve">Internal decision document. It requests normal Microsoft product and standards review, not a favorable Unicode outcome.</w:t>
      </w:r>
    </w:p>
    <w:bookmarkStart w:id="9" w:name="decision-requested"/>
    <w:p>
      <w:pPr>
        <w:pStyle w:val="Heading2"/>
      </w:pPr>
      <w:r>
        <w:t xml:space="preserve">Decision requested</w:t>
      </w:r>
    </w:p>
    <w:p>
      <w:pPr>
        <w:pStyle w:val="FirstParagraph"/>
      </w:pPr>
      <w:r>
        <w:t xml:space="preserve">Please identify the Microsoft owners who can make one focused decision by</w:t>
      </w:r>
      <w:r>
        <w:t xml:space="preserve"> </w:t>
      </w:r>
      <w:r>
        <w:rPr>
          <w:b/>
          <w:bCs/>
        </w:rPr>
        <w:t xml:space="preserve">Friday, July 17</w:t>
      </w:r>
      <w:r>
        <w:t xml:space="preserve">:</w:t>
      </w:r>
    </w:p>
    <w:p>
      <w:pPr>
        <w:pStyle w:val="BlockText"/>
      </w:pPr>
      <w:r>
        <w:t xml:space="preserve">Should Microsoft advance</w:t>
      </w:r>
      <w:r>
        <w:t xml:space="preserve"> </w:t>
      </w:r>
      <w:r>
        <w:rPr>
          <w:b/>
          <w:bCs/>
        </w:rPr>
        <w:t xml:space="preserve">CT Scan</w:t>
      </w:r>
      <w:r>
        <w:t xml:space="preserve"> </w:t>
      </w:r>
      <w:r>
        <w:t xml:space="preserve">as the lead 2026 medical emoji proposal, or wait for a final Google Trends comparison and choose</w:t>
      </w:r>
      <w:r>
        <w:t xml:space="preserve"> </w:t>
      </w:r>
      <w:r>
        <w:rPr>
          <w:b/>
          <w:bCs/>
        </w:rPr>
        <w:t xml:space="preserve">Weight Scale</w:t>
      </w:r>
      <w:r>
        <w:t xml:space="preserve"> </w:t>
      </w:r>
      <w:r>
        <w:t xml:space="preserve">instead?</w:t>
      </w:r>
    </w:p>
    <w:p>
      <w:pPr>
        <w:pStyle w:val="FirstParagraph"/>
      </w:pPr>
      <w:r>
        <w:t xml:space="preserve">If CT Scan is selected, please also determine whether the responsible Windows/Segoe UI Emoji product owner and Microsoft Legal can approve the anticipated-implementation language in the clearance section.</w:t>
      </w:r>
    </w:p>
    <w:bookmarkEnd w:id="9"/>
    <w:bookmarkStart w:id="10" w:name="recommendation"/>
    <w:p>
      <w:pPr>
        <w:pStyle w:val="Heading2"/>
      </w:pPr>
      <w:r>
        <w:t xml:space="preserve">Recommendation</w:t>
      </w:r>
    </w:p>
    <w:p>
      <w:pPr>
        <w:pStyle w:val="FirstParagraph"/>
      </w:pPr>
      <w:r>
        <w:rPr>
          <w:b/>
          <w:bCs/>
        </w:rPr>
        <w:t xml:space="preserve">Advance CT Scan now. Keep Weight Scale as the challenger and Blood Bag as the packet-complete fallback. Do not route all eight eligible concepts as simultaneous submissions.</w:t>
      </w:r>
    </w:p>
    <w:p>
      <w:pPr>
        <w:pStyle w:val="BodyText"/>
      </w:pPr>
      <w:r>
        <w:t xml:space="preserve">CT Scan has the strongest combined packet available today: all five Unicode frequency-evidence categories, the strongest recent Google Books usage among the nine re-eligible concepts, a recognizable gantry-and-table form at 18x18, and appointment, procedure, and results meanings that are not carried by the existing X-Ray emoji.</w:t>
      </w:r>
    </w:p>
    <w:p>
      <w:pPr>
        <w:pStyle w:val="BodyText"/>
      </w:pPr>
      <w:r>
        <w:t xml:space="preserve">Weight Scale may have the broadest everyday usage. Its recovered Search and Video counts are the largest in the slate and it applies to health, fitness, luggage, shipping, and veterinary care. It still needs clean Web and Image Google Trends captures against Unicode’s</w:t>
      </w:r>
      <w:r>
        <w:t xml:space="preserve"> </w:t>
      </w:r>
      <w:r>
        <w:rPr>
          <w:rStyle w:val="VerbatimChar"/>
        </w:rPr>
        <w:t xml:space="preserve">elephant</w:t>
      </w:r>
      <w:r>
        <w:t xml:space="preserve"> </w:t>
      </w:r>
      <w:r>
        <w:t xml:space="preserve">reference term before it can be filed.</w:t>
      </w:r>
    </w:p>
    <w:p>
      <w:pPr>
        <w:pStyle w:val="BodyText"/>
      </w:pPr>
      <w:r>
        <w:t xml:space="preserve">The three organ concepts declined on November 4, 2022 - Kidney, Stomach, and Liver - are not eligible for the intake closing July 31, 2026 because their decline dates are less than four years before the deadline. Their completed drafts should remain future assets, not consume the July Microsoft review window.</w:t>
      </w:r>
    </w:p>
    <w:p>
      <w:r>
        <w:br w:type="page"/>
      </w:r>
    </w:p>
    <w:bookmarkEnd w:id="10"/>
    <w:bookmarkStart w:id="11" w:name="the-three-decisions-that-matter"/>
    <w:p>
      <w:pPr>
        <w:pStyle w:val="Heading2"/>
      </w:pPr>
      <w:r>
        <w:t xml:space="preserve">The three decisions that matter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Concept</w:t>
            </w:r>
          </w:p>
        </w:tc>
        <w:tc>
          <w:tcPr/>
          <w:p>
            <w:pPr>
              <w:pStyle w:val="Compact"/>
            </w:pPr>
            <w:r>
              <w:t xml:space="preserve">Packet today</w:t>
            </w:r>
          </w:p>
        </w:tc>
        <w:tc>
          <w:tcPr/>
          <w:p>
            <w:pPr>
              <w:pStyle w:val="Compact"/>
            </w:pPr>
            <w:r>
              <w:t xml:space="preserve">Strength</w:t>
            </w:r>
          </w:p>
        </w:tc>
        <w:tc>
          <w:tcPr/>
          <w:p>
            <w:pPr>
              <w:pStyle w:val="Compact"/>
            </w:pPr>
            <w:r>
              <w:t xml:space="preserve">Main concern</w:t>
            </w:r>
          </w:p>
        </w:tc>
        <w:tc>
          <w:tcPr/>
          <w:p>
            <w:pPr>
              <w:pStyle w:val="Compact"/>
            </w:pPr>
            <w:r>
              <w:t xml:space="preserve">Call</w:t>
            </w:r>
          </w:p>
        </w:tc>
      </w:tr>
      <w:tr>
        <w:tc>
          <w:tcPr/>
          <w:p>
            <w:pPr>
              <w:pStyle w:val="Compact"/>
            </w:pPr>
            <w:r>
              <w:t xml:space="preserve">CT Scan</w:t>
            </w:r>
          </w:p>
        </w:tc>
        <w:tc>
          <w:tcPr/>
          <w:p>
            <w:pPr>
              <w:pStyle w:val="Compact"/>
            </w:pPr>
            <w:r>
              <w:t xml:space="preserve">Complete</w:t>
            </w:r>
          </w:p>
        </w:tc>
        <w:tc>
          <w:tcPr/>
          <w:p>
            <w:pPr>
              <w:pStyle w:val="Compact"/>
            </w:pPr>
            <w:r>
              <w:t xml:space="preserve">Best combined corpus signal; recognizable scanner; procedure and appointment uses</w:t>
            </w:r>
          </w:p>
        </w:tc>
        <w:tc>
          <w:tcPr/>
          <w:p>
            <w:pPr>
              <w:pStyle w:val="Compact"/>
            </w:pPr>
            <w:r>
              <w:t xml:space="preserve">Must distinguish from X-Ray</w:t>
            </w:r>
          </w:p>
        </w:tc>
        <w:tc>
          <w:tcPr/>
          <w:p>
            <w:pPr>
              <w:pStyle w:val="Compact"/>
            </w:pPr>
            <w:r>
              <w:rPr>
                <w:b/>
                <w:bCs/>
              </w:rPr>
              <w:t xml:space="preserve">Advance now</w:t>
            </w:r>
          </w:p>
        </w:tc>
      </w:tr>
      <w:tr>
        <w:tc>
          <w:tcPr/>
          <w:p>
            <w:pPr>
              <w:pStyle w:val="Compact"/>
            </w:pPr>
            <w:r>
              <w:t xml:space="preserve">Weight Scale</w:t>
            </w:r>
          </w:p>
        </w:tc>
        <w:tc>
          <w:tcPr/>
          <w:p>
            <w:pPr>
              <w:pStyle w:val="Compact"/>
            </w:pPr>
            <w:r>
              <w:t xml:space="preserve">Missing two Trends captures</w:t>
            </w:r>
          </w:p>
        </w:tc>
        <w:tc>
          <w:tcPr/>
          <w:p>
            <w:pPr>
              <w:pStyle w:val="Compact"/>
            </w:pPr>
            <w:r>
              <w:t xml:space="preserve">Broad health and nonmedical use; largest recovered Search and Video counts</w:t>
            </w:r>
          </w:p>
        </w:tc>
        <w:tc>
          <w:tcPr/>
          <w:p>
            <w:pPr>
              <w:pStyle w:val="Compact"/>
            </w:pPr>
            <w:r>
              <w:t xml:space="preserve">Balance Scale neighbor; evidence incomplete</w:t>
            </w:r>
          </w:p>
        </w:tc>
        <w:tc>
          <w:tcPr/>
          <w:p>
            <w:pPr>
              <w:pStyle w:val="Compact"/>
            </w:pPr>
            <w:r>
              <w:rPr>
                <w:b/>
                <w:bCs/>
              </w:rPr>
              <w:t xml:space="preserve">Finish evidence, then challenge</w:t>
            </w:r>
          </w:p>
        </w:tc>
      </w:tr>
      <w:tr>
        <w:tc>
          <w:tcPr/>
          <w:p>
            <w:pPr>
              <w:pStyle w:val="Compact"/>
            </w:pPr>
            <w:r>
              <w:t xml:space="preserve">Blood Bag</w:t>
            </w:r>
          </w:p>
        </w:tc>
        <w:tc>
          <w:tcPr/>
          <w:p>
            <w:pPr>
              <w:pStyle w:val="Compact"/>
            </w:pPr>
            <w:r>
              <w:t xml:space="preserve">Complete</w:t>
            </w:r>
          </w:p>
        </w:tc>
        <w:tc>
          <w:tcPr/>
          <w:p>
            <w:pPr>
              <w:pStyle w:val="Compact"/>
            </w:pPr>
            <w:r>
              <w:t xml:space="preserve">Donation, transfusion, supply, and blood-bank meanings</w:t>
            </w:r>
          </w:p>
        </w:tc>
        <w:tc>
          <w:tcPr/>
          <w:p>
            <w:pPr>
              <w:pStyle w:val="Compact"/>
            </w:pPr>
            <w:r>
              <w:t xml:space="preserve">Drop of Blood is a plausible substitute</w:t>
            </w:r>
          </w:p>
        </w:tc>
        <w:tc>
          <w:tcPr/>
          <w:p>
            <w:pPr>
              <w:pStyle w:val="Compact"/>
            </w:pPr>
            <w:r>
              <w:t xml:space="preserve">Fallback</w:t>
            </w:r>
          </w:p>
        </w:tc>
      </w:tr>
    </w:tbl>
    <w:p>
      <w:pPr>
        <w:pStyle w:val="BodyText"/>
      </w:pPr>
      <w:r>
        <w:rPr>
          <w:b/>
          <w:bCs/>
        </w:rPr>
        <w:t xml:space="preserve">Hold the other six.</w:t>
      </w:r>
      <w:r>
        <w:t xml:space="preserve"> </w:t>
      </w:r>
      <w:r>
        <w:t xml:space="preserve">White Blood Cell needs a recognition test and compliant Trends; Inhaler needs global evidence that answers the 2018 recognition concern; Pill Box overlaps Pill and Pill Pack; IV Bag overlaps Blood Bag, Syringe, and Droplet; Leg Cast adds skin-tone complexity; and Pill Pack has the weakest independent case.</w:t>
      </w:r>
    </w:p>
    <w:bookmarkEnd w:id="11"/>
    <w:bookmarkStart w:id="12" w:name="internal-route-and-deliverables"/>
    <w:p>
      <w:pPr>
        <w:pStyle w:val="Heading2"/>
      </w:pPr>
      <w:r>
        <w:t xml:space="preserve">Internal route and deliverables</w:t>
      </w:r>
    </w:p>
    <w:p>
      <w:pPr>
        <w:pStyle w:val="Compact"/>
        <w:numPr>
          <w:ilvl w:val="0"/>
          <w:numId w:val="1001"/>
        </w:numPr>
      </w:pPr>
      <w:r>
        <w:rPr>
          <w:b/>
          <w:bCs/>
        </w:rPr>
        <w:t xml:space="preserve">Unicode/standards lead - July 15:</w:t>
      </w:r>
      <w:r>
        <w:t xml:space="preserve"> </w:t>
      </w:r>
      <w:r>
        <w:t xml:space="preserve">confirm the proper route for one eligible individual proposal.</w:t>
      </w:r>
    </w:p>
    <w:p>
      <w:pPr>
        <w:pStyle w:val="Compact"/>
        <w:numPr>
          <w:ilvl w:val="0"/>
          <w:numId w:val="1001"/>
        </w:numPr>
      </w:pPr>
      <w:r>
        <w:rPr>
          <w:b/>
          <w:bCs/>
        </w:rPr>
        <w:t xml:space="preserve">Windows/Segoe UI Emoji product owner - July 17:</w:t>
      </w:r>
      <w:r>
        <w:t xml:space="preserve"> </w:t>
      </w:r>
      <w:r>
        <w:t xml:space="preserve">choose CT Scan or Weight Scale and decide whether to approve the anticipated-implementation language.</w:t>
      </w:r>
    </w:p>
    <w:p>
      <w:pPr>
        <w:pStyle w:val="Compact"/>
        <w:numPr>
          <w:ilvl w:val="0"/>
          <w:numId w:val="1001"/>
        </w:numPr>
      </w:pPr>
      <w:r>
        <w:rPr>
          <w:b/>
          <w:bCs/>
        </w:rPr>
        <w:t xml:space="preserve">Fluent Emoji/Windows design and Microsoft Legal - July 20:</w:t>
      </w:r>
      <w:r>
        <w:t xml:space="preserve"> </w:t>
      </w:r>
      <w:r>
        <w:t xml:space="preserve">clear the lead paradigm, CC0 or Microsoft artwork route, and final statement.</w:t>
      </w:r>
    </w:p>
    <w:p>
      <w:pPr>
        <w:pStyle w:val="Compact"/>
        <w:numPr>
          <w:ilvl w:val="0"/>
          <w:numId w:val="1001"/>
        </w:numPr>
      </w:pPr>
      <w:r>
        <w:rPr>
          <w:b/>
          <w:bCs/>
        </w:rPr>
        <w:t xml:space="preserve">David Rhew and Shuhan He - July 31:</w:t>
      </w:r>
      <w:r>
        <w:t xml:space="preserve"> </w:t>
      </w:r>
      <w:r>
        <w:t xml:space="preserve">confirm clinical accuracy, refresh the selected evidence, rebuild the packet, and file individually.</w:t>
      </w:r>
    </w:p>
    <w:p>
      <w:r>
        <w:br w:type="page"/>
      </w:r>
    </w:p>
    <w:bookmarkEnd w:id="12"/>
    <w:bookmarkStart w:id="13" w:name="guardrails"/>
    <w:p>
      <w:pPr>
        <w:pStyle w:val="Heading2"/>
      </w:pPr>
      <w:r>
        <w:t xml:space="preserve">Guardrails</w:t>
      </w:r>
    </w:p>
    <w:p>
      <w:pPr>
        <w:pStyle w:val="Compact"/>
        <w:numPr>
          <w:ilvl w:val="0"/>
          <w:numId w:val="1002"/>
        </w:numPr>
      </w:pPr>
      <w:r>
        <w:t xml:space="preserve">Shuhan He remains the individual submitter; the Unicode form does not accept a company as the submitter.</w:t>
      </w:r>
    </w:p>
    <w:p>
      <w:pPr>
        <w:pStyle w:val="Compact"/>
        <w:numPr>
          <w:ilvl w:val="0"/>
          <w:numId w:val="1002"/>
        </w:numPr>
      </w:pPr>
      <w:r>
        <w:t xml:space="preserve">Ask Microsoft’s Unicode contacts about process and venue, never for a preferred technical outcome.</w:t>
      </w:r>
    </w:p>
    <w:p>
      <w:pPr>
        <w:pStyle w:val="Compact"/>
        <w:numPr>
          <w:ilvl w:val="0"/>
          <w:numId w:val="1002"/>
        </w:numPr>
      </w:pPr>
      <w:r>
        <w:t xml:space="preserve">Do not describe Microsoft as supporting implementation until the responsible product owner and legal team approve the language.</w:t>
      </w:r>
    </w:p>
    <w:p>
      <w:pPr>
        <w:pStyle w:val="Compact"/>
        <w:numPr>
          <w:ilvl w:val="0"/>
          <w:numId w:val="1002"/>
        </w:numPr>
      </w:pPr>
      <w:r>
        <w:t xml:space="preserve">File one lead proposal. A second filing should require a separate product decision and clearly independent evidence.</w:t>
      </w:r>
    </w:p>
    <w:p>
      <w:pPr>
        <w:pStyle w:val="Compact"/>
        <w:numPr>
          <w:ilvl w:val="0"/>
          <w:numId w:val="1002"/>
        </w:numPr>
      </w:pPr>
      <w:r>
        <w:t xml:space="preserve">Do not file both Pill Box and Pill Pack, or both Blood Bag and IV Bag, without resolving their overlap.</w:t>
      </w:r>
    </w:p>
    <w:p>
      <w:pPr>
        <w:pStyle w:val="Compact"/>
        <w:numPr>
          <w:ilvl w:val="0"/>
          <w:numId w:val="1002"/>
        </w:numPr>
      </w:pPr>
      <w:r>
        <w:t xml:space="preserve">Historical Google evidence is dated accurately. Refresh the selected packet where a clean manual Google session permits it.</w:t>
      </w:r>
    </w:p>
    <w:bookmarkEnd w:id="13"/>
    <w:bookmarkStart w:id="14" w:name="material-ready-for-review"/>
    <w:p>
      <w:pPr>
        <w:pStyle w:val="Heading2"/>
      </w:pPr>
      <w:r>
        <w:t xml:space="preserve">Material ready for review</w:t>
      </w:r>
    </w:p>
    <w:p>
      <w:pPr>
        <w:pStyle w:val="Compact"/>
        <w:numPr>
          <w:ilvl w:val="0"/>
          <w:numId w:val="1003"/>
        </w:numPr>
      </w:pPr>
      <w:r>
        <w:t xml:space="preserve">Complete CT Scan and Blood Bag packets; evidence-gated Weight Scale challenger.</w:t>
      </w:r>
    </w:p>
    <w:p>
      <w:pPr>
        <w:pStyle w:val="Compact"/>
        <w:numPr>
          <w:ilvl w:val="0"/>
          <w:numId w:val="1003"/>
        </w:numPr>
      </w:pPr>
      <w:r>
        <w:t xml:space="preserve">Comparative ranking and independent drafts for all nine clearly re-eligible concepts.</w:t>
      </w:r>
    </w:p>
    <w:p>
      <w:pPr>
        <w:pStyle w:val="Compact"/>
        <w:numPr>
          <w:ilvl w:val="0"/>
          <w:numId w:val="1003"/>
        </w:numPr>
      </w:pPr>
      <w:r>
        <w:t xml:space="preserve">Original color and black-and-white SVG/PNG artwork released under CC0 1.0.</w:t>
      </w:r>
    </w:p>
    <w:p>
      <w:pPr>
        <w:pStyle w:val="FirstParagraph"/>
      </w:pPr>
      <w:r>
        <w:t xml:space="preserve">Proposal release:</w:t>
      </w:r>
    </w:p>
    <w:p>
      <w:pPr>
        <w:pStyle w:val="BodyText"/>
      </w:pPr>
      <w:r>
        <w:t xml:space="preserve">https://github.com/ShuhanCS/medicalemoji/tree/codex/eligible-2026-slate/submissions/v1.3.0</w:t>
      </w:r>
    </w:p>
    <w:bookmarkEnd w:id="14"/>
    <w:bookmarkStart w:id="15" w:name="source-record"/>
    <w:p>
      <w:pPr>
        <w:pStyle w:val="Heading2"/>
      </w:pPr>
      <w:r>
        <w:t xml:space="preserve">Source record</w:t>
      </w:r>
    </w:p>
    <w:p>
      <w:pPr>
        <w:pStyle w:val="Compact"/>
        <w:numPr>
          <w:ilvl w:val="0"/>
          <w:numId w:val="1004"/>
        </w:numPr>
      </w:pPr>
      <w:r>
        <w:t xml:space="preserve">Unicode proposal guidance: https://www.unicode.org/emoji/proposals.html</w:t>
      </w:r>
    </w:p>
    <w:p>
      <w:pPr>
        <w:pStyle w:val="Compact"/>
        <w:numPr>
          <w:ilvl w:val="0"/>
          <w:numId w:val="1004"/>
        </w:numPr>
      </w:pPr>
      <w:r>
        <w:t xml:space="preserve">Unicode Emoji Submission FAQ: https://www.unicode.org/faq/emoji_submission.html</w:t>
      </w:r>
    </w:p>
    <w:p>
      <w:pPr>
        <w:pStyle w:val="Compact"/>
        <w:numPr>
          <w:ilvl w:val="0"/>
          <w:numId w:val="1004"/>
        </w:numPr>
      </w:pPr>
      <w:r>
        <w:t xml:space="preserve">Unicode proposal status: https://www.unicode.org/emoji/emoji-proposals-status.html</w:t>
      </w:r>
    </w:p>
    <w:p>
      <w:pPr>
        <w:pStyle w:val="Compact"/>
        <w:numPr>
          <w:ilvl w:val="0"/>
          <w:numId w:val="1004"/>
        </w:numPr>
      </w:pPr>
      <w:r>
        <w:t xml:space="preserve">Microsoft Fluent Emoji: https://github.com/microsoft/fluentui-emoji</w:t>
      </w:r>
    </w:p>
    <w:p>
      <w:r>
        <w:br w:type="page"/>
      </w:r>
    </w:p>
    <w:bookmarkEnd w:id="15"/>
    <w:bookmarkStart w:id="17" w:name="draft-for-product-and-legal-clearance"/>
    <w:p>
      <w:pPr>
        <w:pStyle w:val="Heading1"/>
      </w:pPr>
      <w:r>
        <w:t xml:space="preserve">Draft for Product and Legal Clearance</w:t>
      </w:r>
    </w:p>
    <w:bookmarkStart w:id="16" w:name="X62623f00acf2320d71bb453f7a241052393aae6"/>
    <w:p>
      <w:pPr>
        <w:pStyle w:val="Heading2"/>
      </w:pPr>
      <w:r>
        <w:t xml:space="preserve">Microsoft anticipated implementation support</w:t>
      </w:r>
    </w:p>
    <w:p>
      <w:pPr>
        <w:pStyle w:val="FirstParagraph"/>
      </w:pPr>
      <w:r>
        <w:rPr>
          <w:b/>
          <w:bCs/>
        </w:rPr>
        <w:t xml:space="preserve">Working text - do not submit until approved and signed by the responsible Microsoft product owner.</w:t>
      </w:r>
    </w:p>
    <w:p>
      <w:pPr>
        <w:pStyle w:val="BodyText"/>
      </w:pPr>
      <w:r>
        <w:t xml:space="preserve">Microsoft supports the Unicode Consortium’s consideration of the</w:t>
      </w:r>
      <w:r>
        <w:t xml:space="preserve"> </w:t>
      </w:r>
      <w:r>
        <w:rPr>
          <w:b/>
          <w:bCs/>
        </w:rPr>
        <w:t xml:space="preserve">CT Scan</w:t>
      </w:r>
      <w:r>
        <w:t xml:space="preserve"> </w:t>
      </w:r>
      <w:r>
        <w:t xml:space="preserve">emoji proposal submitted by Shuhan He. If the character is encoded and recommended for general interchange as emoji, Microsoft anticipates implementing it in Segoe UI Emoji and relevant Microsoft emoji experiences through its standard design, product-planning, accessibility, legal, and release processes.</w:t>
      </w:r>
    </w:p>
    <w:p>
      <w:pPr>
        <w:pStyle w:val="BodyText"/>
      </w:pPr>
      <w:r>
        <w:t xml:space="preserve">Microsoft would retain control of its vendor-specific artwork and implementation schedule. This statement supplies anticipated vendor support; it does not request preferential treatment, pre-judge Unicode’s technical review, or bypass Microsoft’s normal approvals.</w:t>
      </w:r>
    </w:p>
    <w:p>
      <w:pPr>
        <w:pStyle w:val="BodyText"/>
      </w:pPr>
      <w:r>
        <w:t xml:space="preserve">If Microsoft selects Weight Scale instead, replace</w:t>
      </w:r>
      <w:r>
        <w:t xml:space="preserve"> </w:t>
      </w:r>
      <w:r>
        <w:rPr>
          <w:rStyle w:val="VerbatimChar"/>
        </w:rPr>
        <w:t xml:space="preserve">CT Scan</w:t>
      </w:r>
      <w:r>
        <w:t xml:space="preserve"> </w:t>
      </w:r>
      <w:r>
        <w:t xml:space="preserve">with</w:t>
      </w:r>
      <w:r>
        <w:t xml:space="preserve"> </w:t>
      </w:r>
      <w:r>
        <w:rPr>
          <w:rStyle w:val="VerbatimChar"/>
        </w:rPr>
        <w:t xml:space="preserve">Weight Scale</w:t>
      </w:r>
      <w:r>
        <w:t xml:space="preserve"> </w:t>
      </w:r>
      <w:r>
        <w:t xml:space="preserve">only after the packet’s missing Trends evidence is completed and the design owner approves the paradigm.</w:t>
      </w:r>
    </w:p>
    <w:p>
      <w:pPr>
        <w:pStyle w:val="BodyText"/>
      </w:pPr>
      <w:r>
        <w:rPr>
          <w:b/>
          <w:bCs/>
        </w:rPr>
        <w:t xml:space="preserve">Approved by:</w:t>
      </w:r>
      <w:r>
        <w:t xml:space="preserve"> </w:t>
      </w:r>
      <w:r>
        <w:t xml:space="preserve">____________________________________</w:t>
      </w:r>
      <w:r>
        <w:br/>
      </w:r>
      <w:r>
        <w:rPr>
          <w:b/>
          <w:bCs/>
        </w:rPr>
        <w:t xml:space="preserve">Title / product responsibility:</w:t>
      </w:r>
      <w:r>
        <w:t xml:space="preserve"> </w:t>
      </w:r>
      <w:r>
        <w:t xml:space="preserve">_________________________</w:t>
      </w:r>
      <w:r>
        <w:br/>
      </w:r>
      <w:r>
        <w:rPr>
          <w:b/>
          <w:bCs/>
        </w:rPr>
        <w:t xml:space="preserve">Date:</w:t>
      </w:r>
      <w:r>
        <w:t xml:space="preserve"> </w:t>
      </w:r>
      <w:r>
        <w:t xml:space="preserve">__________________</w:t>
      </w:r>
      <w:r>
        <w:br/>
      </w:r>
      <w:r>
        <w:rPr>
          <w:b/>
          <w:bCs/>
        </w:rPr>
        <w:t xml:space="preserve">Microsoft contact:</w:t>
      </w:r>
      <w:r>
        <w:t xml:space="preserve"> </w:t>
      </w:r>
      <w:r>
        <w:t xml:space="preserve">__________________________________</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Medical Emoji: Microsoft Internal Decision Brief</dc:title>
  <dc:creator>Prepared for David Rhew, MD, and Vishal Chowdhary</dc:creator>
  <cp:keywords/>
  <dcterms:created xsi:type="dcterms:W3CDTF">2026-07-10T13:59:54Z</dcterms:created>
  <dcterms:modified xsi:type="dcterms:W3CDTF">2026-07-10T13:59:54Z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13, 2026</vt:lpwstr>
  </property>
  <property fmtid="{D5CDD505-2E9C-101B-9397-08002B2CF9AE}" pid="3" name="subtitle">
    <vt:lpwstr>Choose one clearly eligible proposal to advance before July 31</vt:lpwstr>
  </property>
</Properties>
</file>