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3E731" w14:textId="77777777" w:rsidR="00D3245B" w:rsidRDefault="00A75896">
      <w:pPr>
        <w:pStyle w:val="Title"/>
      </w:pPr>
      <w:r>
        <w:t>2026 Medical Emoji: Microsoft Internal Decision Brief</w:t>
      </w:r>
    </w:p>
    <w:p w14:paraId="25A9106E" w14:textId="77777777" w:rsidR="00D3245B" w:rsidRDefault="00A75896">
      <w:pPr>
        <w:pStyle w:val="Subtitle"/>
      </w:pPr>
      <w:r>
        <w:t>Choose one lead and preserve one filing-ready fallback before July 31</w:t>
      </w:r>
    </w:p>
    <w:p w14:paraId="61E80654" w14:textId="77777777" w:rsidR="00D3245B" w:rsidRDefault="00A75896">
      <w:pPr>
        <w:pStyle w:val="Author"/>
      </w:pPr>
      <w:r>
        <w:t>Prepared for David Rhew, MD, and Vishal Chowdhary</w:t>
      </w:r>
    </w:p>
    <w:p w14:paraId="1D47B177" w14:textId="77777777" w:rsidR="00D3245B" w:rsidRDefault="00A75896">
      <w:pPr>
        <w:pStyle w:val="Date"/>
      </w:pPr>
      <w:r>
        <w:t>July 13, 2026</w:t>
      </w:r>
    </w:p>
    <w:p w14:paraId="626FD9C0" w14:textId="77777777" w:rsidR="00D3245B" w:rsidRDefault="00A75896">
      <w:pPr>
        <w:pStyle w:val="FirstParagraph"/>
      </w:pPr>
      <w:r>
        <w:rPr>
          <w:b/>
          <w:bCs/>
        </w:rPr>
        <w:t>Status:</w:t>
      </w:r>
      <w:r>
        <w:t xml:space="preserve"> Internal decision document. It requests normal Microsoft product and standards review, not a favorable Unicode outcome.</w:t>
      </w:r>
    </w:p>
    <w:p w14:paraId="78018B70" w14:textId="77777777" w:rsidR="00D3245B" w:rsidRDefault="00A75896">
      <w:pPr>
        <w:pStyle w:val="Heading2"/>
      </w:pPr>
      <w:bookmarkStart w:id="0" w:name="decision-requested"/>
      <w:r>
        <w:t>Decision requested</w:t>
      </w:r>
    </w:p>
    <w:p w14:paraId="6E4F4F15" w14:textId="77777777" w:rsidR="00D3245B" w:rsidRDefault="00A75896">
      <w:pPr>
        <w:pStyle w:val="FirstParagraph"/>
      </w:pPr>
      <w:r>
        <w:t xml:space="preserve">Please identify the Microsoft owners who can make one focused decision by </w:t>
      </w:r>
      <w:r>
        <w:rPr>
          <w:b/>
          <w:bCs/>
        </w:rPr>
        <w:t>Friday, July 17</w:t>
      </w:r>
      <w:r>
        <w:t>:</w:t>
      </w:r>
    </w:p>
    <w:p w14:paraId="7399BB28" w14:textId="77777777" w:rsidR="00D3245B" w:rsidRDefault="00A75896">
      <w:pPr>
        <w:pStyle w:val="BlockText"/>
      </w:pPr>
      <w:r>
        <w:t xml:space="preserve">Should Microsoft advance </w:t>
      </w:r>
      <w:r>
        <w:rPr>
          <w:b/>
          <w:bCs/>
        </w:rPr>
        <w:t>Ultrasound</w:t>
      </w:r>
      <w:r>
        <w:t xml:space="preserve"> </w:t>
      </w:r>
      <w:r>
        <w:t xml:space="preserve">as the conditional lead after a 48-hour evidence and design sprint, with </w:t>
      </w:r>
      <w:r>
        <w:rPr>
          <w:b/>
          <w:bCs/>
        </w:rPr>
        <w:t>CT Scan</w:t>
      </w:r>
      <w:r>
        <w:t xml:space="preserve"> as the filing-ready fallback?</w:t>
      </w:r>
    </w:p>
    <w:p w14:paraId="6BADE856" w14:textId="77777777" w:rsidR="00D3245B" w:rsidRDefault="00A75896">
      <w:pPr>
        <w:pStyle w:val="FirstParagraph"/>
      </w:pPr>
      <w:r>
        <w:t>Please also determine whether the responsible Windows/Segoe UI Emoji product owner and Microsoft Legal can approve the selected paradigm, the CC0 artwork route, and the anticipated-implementation language in the clearance section.</w:t>
      </w:r>
    </w:p>
    <w:p w14:paraId="09B7205C" w14:textId="77777777" w:rsidR="00D3245B" w:rsidRDefault="00A75896">
      <w:pPr>
        <w:pStyle w:val="Heading2"/>
      </w:pPr>
      <w:bookmarkStart w:id="1" w:name="recommendation"/>
      <w:bookmarkEnd w:id="0"/>
      <w:r>
        <w:t>Recommendation</w:t>
      </w:r>
    </w:p>
    <w:p w14:paraId="5161194D" w14:textId="77777777" w:rsidR="00D3245B" w:rsidRDefault="00A75896">
      <w:pPr>
        <w:pStyle w:val="FirstParagraph"/>
      </w:pPr>
      <w:r>
        <w:rPr>
          <w:b/>
          <w:bCs/>
        </w:rPr>
        <w:t xml:space="preserve">Make Ultrasound the conditional lead. Keep CT Scan as the filing-ready fallback. Do not route the full </w:t>
      </w:r>
      <w:r>
        <w:rPr>
          <w:b/>
          <w:bCs/>
        </w:rPr>
        <w:t>twelve-concept portfolio as simultaneous submissions.</w:t>
      </w:r>
    </w:p>
    <w:p w14:paraId="15147B70" w14:textId="77777777" w:rsidR="00D3245B" w:rsidRDefault="00A75896">
      <w:pPr>
        <w:pStyle w:val="BodyText"/>
      </w:pPr>
      <w:r>
        <w:t xml:space="preserve">Ultrasound is the highest-upside concept found in the expanded review. No matching proposal appears in Unicode’s public status sheet, its recent Google Books signal is approximately </w:t>
      </w:r>
      <w:r>
        <w:rPr>
          <w:b/>
          <w:bCs/>
        </w:rPr>
        <w:t>1.70 times</w:t>
      </w:r>
      <w:r>
        <w:t xml:space="preserve"> Unicode’s </w:t>
      </w:r>
      <w:r>
        <w:rPr>
          <w:rStyle w:val="VerbatimChar"/>
        </w:rPr>
        <w:t>elephant</w:t>
      </w:r>
      <w:r>
        <w:t xml:space="preserve"> comparator, and the monitor-plus-probe form supports pregnancy, cardiac, abdominal, bedside, procedure-guidance, education, and veterinary contexts without showing a patient or diagnosis.</w:t>
      </w:r>
    </w:p>
    <w:p w14:paraId="4DD030B5" w14:textId="77777777" w:rsidR="00D3245B" w:rsidRDefault="00A75896">
      <w:pPr>
        <w:pStyle w:val="BodyText"/>
      </w:pPr>
      <w:r>
        <w:t>Ultrasound is not file-ready today. A Google CAPTCHA/rate limit prevented fresh Search, Video, Web Trends, and Image Trends captures. The 48-hour sprint has a simple pass/fail output: add those four required screenshots and confirm small-size recognition. If either step fails or misses the internal cutoff, file CT Scan. Its packet already contains all five evidence categories and a recognizable gantry-and-table paradigm.</w:t>
      </w:r>
    </w:p>
    <w:p w14:paraId="46E9725C" w14:textId="77777777" w:rsidR="00D3245B" w:rsidRDefault="00A75896">
      <w:pPr>
        <w:pStyle w:val="BodyText"/>
      </w:pPr>
      <w:r>
        <w:t>The three organ concepts declined on November 4, 2022 - Kidney, Stomach, and Liver - are not eligible for the intake closing July 31, 2026 because their decline dates are less than four years before the deadline. Their completed drafts should remain future assets, not consume the July Microsoft review window.</w:t>
      </w:r>
    </w:p>
    <w:p w14:paraId="04D50EC3" w14:textId="77777777" w:rsidR="00D3245B" w:rsidRDefault="00A75896">
      <w:r>
        <w:br w:type="page"/>
      </w:r>
    </w:p>
    <w:p w14:paraId="7CA4126C" w14:textId="77777777" w:rsidR="00D3245B" w:rsidRDefault="00A75896">
      <w:pPr>
        <w:pStyle w:val="Heading2"/>
      </w:pPr>
      <w:bookmarkStart w:id="2" w:name="the-four-concepts-microsoft-should-see"/>
      <w:bookmarkEnd w:id="1"/>
      <w:r>
        <w:lastRenderedPageBreak/>
        <w:t>The four concepts Microsoft should see</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D3245B" w14:paraId="3EDC4ABC" w14:textId="77777777" w:rsidTr="00D3245B">
        <w:trPr>
          <w:cnfStyle w:val="100000000000" w:firstRow="1" w:lastRow="0" w:firstColumn="0" w:lastColumn="0" w:oddVBand="0" w:evenVBand="0" w:oddHBand="0" w:evenHBand="0" w:firstRowFirstColumn="0" w:firstRowLastColumn="0" w:lastRowFirstColumn="0" w:lastRowLastColumn="0"/>
          <w:tblHeader/>
        </w:trPr>
        <w:tc>
          <w:tcPr>
            <w:tcW w:w="1584" w:type="dxa"/>
          </w:tcPr>
          <w:p w14:paraId="3D63B34B" w14:textId="77777777" w:rsidR="00D3245B" w:rsidRDefault="00A75896">
            <w:pPr>
              <w:pStyle w:val="Compact"/>
            </w:pPr>
            <w:r>
              <w:t>Concept</w:t>
            </w:r>
          </w:p>
        </w:tc>
        <w:tc>
          <w:tcPr>
            <w:tcW w:w="1584" w:type="dxa"/>
          </w:tcPr>
          <w:p w14:paraId="34E21A0A" w14:textId="77777777" w:rsidR="00D3245B" w:rsidRDefault="00A75896">
            <w:pPr>
              <w:pStyle w:val="Compact"/>
            </w:pPr>
            <w:r>
              <w:t>Packet today</w:t>
            </w:r>
          </w:p>
        </w:tc>
        <w:tc>
          <w:tcPr>
            <w:tcW w:w="1584" w:type="dxa"/>
          </w:tcPr>
          <w:p w14:paraId="610DCAA5" w14:textId="77777777" w:rsidR="00D3245B" w:rsidRDefault="00A75896">
            <w:pPr>
              <w:pStyle w:val="Compact"/>
            </w:pPr>
            <w:r>
              <w:t>Strength</w:t>
            </w:r>
          </w:p>
        </w:tc>
        <w:tc>
          <w:tcPr>
            <w:tcW w:w="1584" w:type="dxa"/>
          </w:tcPr>
          <w:p w14:paraId="6924140D" w14:textId="77777777" w:rsidR="00D3245B" w:rsidRDefault="00A75896">
            <w:pPr>
              <w:pStyle w:val="Compact"/>
            </w:pPr>
            <w:r>
              <w:t>Main concern</w:t>
            </w:r>
          </w:p>
        </w:tc>
        <w:tc>
          <w:tcPr>
            <w:tcW w:w="1584" w:type="dxa"/>
          </w:tcPr>
          <w:p w14:paraId="28221715" w14:textId="77777777" w:rsidR="00D3245B" w:rsidRDefault="00A75896">
            <w:pPr>
              <w:pStyle w:val="Compact"/>
            </w:pPr>
            <w:r>
              <w:t>Call</w:t>
            </w:r>
          </w:p>
        </w:tc>
      </w:tr>
      <w:tr w:rsidR="00D3245B" w14:paraId="022BBD88" w14:textId="77777777">
        <w:tc>
          <w:tcPr>
            <w:tcW w:w="1584" w:type="dxa"/>
          </w:tcPr>
          <w:p w14:paraId="242BDA6D" w14:textId="77777777" w:rsidR="00D3245B" w:rsidRDefault="00A75896">
            <w:pPr>
              <w:pStyle w:val="Compact"/>
            </w:pPr>
            <w:r>
              <w:t>Ultrasound</w:t>
            </w:r>
          </w:p>
        </w:tc>
        <w:tc>
          <w:tcPr>
            <w:tcW w:w="1584" w:type="dxa"/>
          </w:tcPr>
          <w:p w14:paraId="4167500E" w14:textId="77777777" w:rsidR="00D3245B" w:rsidRDefault="00A75896">
            <w:pPr>
              <w:pStyle w:val="Compact"/>
            </w:pPr>
            <w:r>
              <w:t>Missing four Google captures</w:t>
            </w:r>
          </w:p>
        </w:tc>
        <w:tc>
          <w:tcPr>
            <w:tcW w:w="1584" w:type="dxa"/>
          </w:tcPr>
          <w:p w14:paraId="3376F55D" w14:textId="77777777" w:rsidR="00D3245B" w:rsidRDefault="00A75896">
            <w:pPr>
              <w:pStyle w:val="Compact"/>
            </w:pPr>
            <w:r>
              <w:t xml:space="preserve">Novel public-sheet concept; Ngram approximately 1.70x </w:t>
            </w:r>
            <w:r>
              <w:rPr>
                <w:rStyle w:val="VerbatimChar"/>
              </w:rPr>
              <w:t>elephant</w:t>
            </w:r>
            <w:r>
              <w:t>; broad scan uses</w:t>
            </w:r>
          </w:p>
        </w:tc>
        <w:tc>
          <w:tcPr>
            <w:tcW w:w="1584" w:type="dxa"/>
          </w:tcPr>
          <w:p w14:paraId="75AFC72D" w14:textId="77777777" w:rsidR="00D3245B" w:rsidRDefault="00A75896">
            <w:pPr>
              <w:pStyle w:val="Compact"/>
            </w:pPr>
            <w:r>
              <w:t>Evidence incomplete; probe must remain legible</w:t>
            </w:r>
          </w:p>
        </w:tc>
        <w:tc>
          <w:tcPr>
            <w:tcW w:w="1584" w:type="dxa"/>
          </w:tcPr>
          <w:p w14:paraId="7378F3BE" w14:textId="77777777" w:rsidR="00D3245B" w:rsidRDefault="00A75896">
            <w:pPr>
              <w:pStyle w:val="Compact"/>
            </w:pPr>
            <w:r>
              <w:rPr>
                <w:b/>
                <w:bCs/>
              </w:rPr>
              <w:t>Conditional lead</w:t>
            </w:r>
          </w:p>
        </w:tc>
      </w:tr>
      <w:tr w:rsidR="00D3245B" w14:paraId="72695981" w14:textId="77777777">
        <w:tc>
          <w:tcPr>
            <w:tcW w:w="1584" w:type="dxa"/>
          </w:tcPr>
          <w:p w14:paraId="6312C779" w14:textId="77777777" w:rsidR="00D3245B" w:rsidRDefault="00A75896">
            <w:pPr>
              <w:pStyle w:val="Compact"/>
            </w:pPr>
            <w:r>
              <w:t>CT Scan</w:t>
            </w:r>
          </w:p>
        </w:tc>
        <w:tc>
          <w:tcPr>
            <w:tcW w:w="1584" w:type="dxa"/>
          </w:tcPr>
          <w:p w14:paraId="627B4838" w14:textId="77777777" w:rsidR="00D3245B" w:rsidRDefault="00A75896">
            <w:pPr>
              <w:pStyle w:val="Compact"/>
            </w:pPr>
            <w:r>
              <w:t>Complete</w:t>
            </w:r>
          </w:p>
        </w:tc>
        <w:tc>
          <w:tcPr>
            <w:tcW w:w="1584" w:type="dxa"/>
          </w:tcPr>
          <w:p w14:paraId="2E8E8654" w14:textId="77777777" w:rsidR="00D3245B" w:rsidRDefault="00A75896">
            <w:pPr>
              <w:pStyle w:val="Compact"/>
            </w:pPr>
            <w:r>
              <w:t>Strong complete corpus packet; recognizable scanner; procedure and appointment uses</w:t>
            </w:r>
          </w:p>
        </w:tc>
        <w:tc>
          <w:tcPr>
            <w:tcW w:w="1584" w:type="dxa"/>
          </w:tcPr>
          <w:p w14:paraId="2CC41344" w14:textId="77777777" w:rsidR="00D3245B" w:rsidRDefault="00A75896">
            <w:pPr>
              <w:pStyle w:val="Compact"/>
            </w:pPr>
            <w:r>
              <w:t>Must distinguish from X-Ray; resubmission</w:t>
            </w:r>
          </w:p>
        </w:tc>
        <w:tc>
          <w:tcPr>
            <w:tcW w:w="1584" w:type="dxa"/>
          </w:tcPr>
          <w:p w14:paraId="7923EDDE" w14:textId="77777777" w:rsidR="00D3245B" w:rsidRDefault="00A75896">
            <w:pPr>
              <w:pStyle w:val="Compact"/>
            </w:pPr>
            <w:r>
              <w:rPr>
                <w:b/>
                <w:bCs/>
              </w:rPr>
              <w:t>Filing-ready fallback</w:t>
            </w:r>
          </w:p>
        </w:tc>
      </w:tr>
      <w:tr w:rsidR="00D3245B" w14:paraId="5AF3E400" w14:textId="77777777">
        <w:tc>
          <w:tcPr>
            <w:tcW w:w="1584" w:type="dxa"/>
          </w:tcPr>
          <w:p w14:paraId="4E9B8D71" w14:textId="77777777" w:rsidR="00D3245B" w:rsidRDefault="00A75896">
            <w:pPr>
              <w:pStyle w:val="Compact"/>
            </w:pPr>
            <w:r>
              <w:t>Maze</w:t>
            </w:r>
          </w:p>
        </w:tc>
        <w:tc>
          <w:tcPr>
            <w:tcW w:w="1584" w:type="dxa"/>
          </w:tcPr>
          <w:p w14:paraId="408E1153" w14:textId="77777777" w:rsidR="00D3245B" w:rsidRDefault="00A75896">
            <w:pPr>
              <w:pStyle w:val="Compact"/>
            </w:pPr>
            <w:r>
              <w:t>Missing four Google captures</w:t>
            </w:r>
          </w:p>
        </w:tc>
        <w:tc>
          <w:tcPr>
            <w:tcW w:w="1584" w:type="dxa"/>
          </w:tcPr>
          <w:p w14:paraId="253B7EDC" w14:textId="77777777" w:rsidR="00D3245B" w:rsidRDefault="00A75896">
            <w:pPr>
              <w:pStyle w:val="Compact"/>
            </w:pPr>
            <w:r>
              <w:t>Broad puzzle, path, choice, complexity, and navigation meanings</w:t>
            </w:r>
          </w:p>
        </w:tc>
        <w:tc>
          <w:tcPr>
            <w:tcW w:w="1584" w:type="dxa"/>
          </w:tcPr>
          <w:p w14:paraId="767E925D" w14:textId="77777777" w:rsidR="00D3245B" w:rsidRDefault="00A75896">
            <w:pPr>
              <w:pStyle w:val="Compact"/>
            </w:pPr>
            <w:r>
              <w:t xml:space="preserve">Declined twice; current Ngram below </w:t>
            </w:r>
            <w:r>
              <w:rPr>
                <w:rStyle w:val="VerbatimChar"/>
              </w:rPr>
              <w:t>elephant</w:t>
            </w:r>
          </w:p>
        </w:tc>
        <w:tc>
          <w:tcPr>
            <w:tcW w:w="1584" w:type="dxa"/>
          </w:tcPr>
          <w:p w14:paraId="70C1EED2" w14:textId="77777777" w:rsidR="00D3245B" w:rsidRDefault="00A75896">
            <w:pPr>
              <w:pStyle w:val="Compact"/>
            </w:pPr>
            <w:r>
              <w:t>Evidence reserve</w:t>
            </w:r>
          </w:p>
        </w:tc>
      </w:tr>
      <w:tr w:rsidR="00D3245B" w14:paraId="763549B8" w14:textId="77777777">
        <w:tc>
          <w:tcPr>
            <w:tcW w:w="1584" w:type="dxa"/>
          </w:tcPr>
          <w:p w14:paraId="597EBBA0" w14:textId="77777777" w:rsidR="00D3245B" w:rsidRDefault="00A75896">
            <w:pPr>
              <w:pStyle w:val="Compact"/>
            </w:pPr>
            <w:r>
              <w:t>First Aid Kit</w:t>
            </w:r>
          </w:p>
        </w:tc>
        <w:tc>
          <w:tcPr>
            <w:tcW w:w="1584" w:type="dxa"/>
          </w:tcPr>
          <w:p w14:paraId="6DF0CAFB" w14:textId="77777777" w:rsidR="00D3245B" w:rsidRDefault="00A75896">
            <w:pPr>
              <w:pStyle w:val="Compact"/>
            </w:pPr>
            <w:r>
              <w:t>Missing four Google captures</w:t>
            </w:r>
          </w:p>
        </w:tc>
        <w:tc>
          <w:tcPr>
            <w:tcW w:w="1584" w:type="dxa"/>
          </w:tcPr>
          <w:p w14:paraId="49A7E190" w14:textId="77777777" w:rsidR="00D3245B" w:rsidRDefault="00A75896">
            <w:pPr>
              <w:pStyle w:val="Compact"/>
            </w:pPr>
            <w:r>
              <w:t>Novel public-sheet concept; iconic preparedness object</w:t>
            </w:r>
          </w:p>
        </w:tc>
        <w:tc>
          <w:tcPr>
            <w:tcW w:w="1584" w:type="dxa"/>
          </w:tcPr>
          <w:p w14:paraId="48853E2F" w14:textId="77777777" w:rsidR="00D3245B" w:rsidRDefault="00A75896">
            <w:pPr>
              <w:pStyle w:val="Compact"/>
            </w:pPr>
            <w:r>
              <w:t>Low books signal; existing substitutes</w:t>
            </w:r>
          </w:p>
        </w:tc>
        <w:tc>
          <w:tcPr>
            <w:tcW w:w="1584" w:type="dxa"/>
          </w:tcPr>
          <w:p w14:paraId="3AAF67FE" w14:textId="77777777" w:rsidR="00D3245B" w:rsidRDefault="00A75896">
            <w:pPr>
              <w:pStyle w:val="Compact"/>
            </w:pPr>
            <w:r>
              <w:t>Hold</w:t>
            </w:r>
          </w:p>
        </w:tc>
      </w:tr>
    </w:tbl>
    <w:p w14:paraId="755A1EDD" w14:textId="77777777" w:rsidR="00D3245B" w:rsidRDefault="00A75896">
      <w:pPr>
        <w:pStyle w:val="BodyText"/>
      </w:pPr>
      <w:r>
        <w:rPr>
          <w:b/>
          <w:bCs/>
        </w:rPr>
        <w:t>Hold the other eight.</w:t>
      </w:r>
      <w:r>
        <w:t xml:space="preserve"> Weight Scale and Blood Bag are reserves. The other six carry greater evidence, recognition, overlap, or implementation risk.</w:t>
      </w:r>
    </w:p>
    <w:p w14:paraId="1D5EEA6A" w14:textId="77777777" w:rsidR="00D3245B" w:rsidRDefault="00A75896">
      <w:pPr>
        <w:pStyle w:val="Heading2"/>
      </w:pPr>
      <w:bookmarkStart w:id="3" w:name="internal-route-and-deliverables"/>
      <w:bookmarkEnd w:id="2"/>
      <w:r>
        <w:t>Internal route and deliverables</w:t>
      </w:r>
    </w:p>
    <w:p w14:paraId="5D53AE29" w14:textId="77777777" w:rsidR="00D3245B" w:rsidRDefault="00A75896">
      <w:pPr>
        <w:pStyle w:val="Compact"/>
        <w:numPr>
          <w:ilvl w:val="0"/>
          <w:numId w:val="2"/>
        </w:numPr>
      </w:pPr>
      <w:r>
        <w:rPr>
          <w:b/>
          <w:bCs/>
        </w:rPr>
        <w:t>Unicode/standards lead - July 15:</w:t>
      </w:r>
      <w:r>
        <w:t xml:space="preserve"> confirm the proper route for one individual proposal.</w:t>
      </w:r>
    </w:p>
    <w:p w14:paraId="6E4D49F0" w14:textId="77777777" w:rsidR="00D3245B" w:rsidRDefault="00A75896">
      <w:pPr>
        <w:pStyle w:val="Compact"/>
        <w:numPr>
          <w:ilvl w:val="0"/>
          <w:numId w:val="2"/>
        </w:numPr>
      </w:pPr>
      <w:r>
        <w:rPr>
          <w:b/>
          <w:bCs/>
        </w:rPr>
        <w:t>Evidence owner and Shuhan He - July 15:</w:t>
      </w:r>
      <w:r>
        <w:t xml:space="preserve"> capture all four missing Ultrasound screenshots and issue a pass/fail note.</w:t>
      </w:r>
    </w:p>
    <w:p w14:paraId="261A5D5F" w14:textId="77777777" w:rsidR="00D3245B" w:rsidRDefault="00A75896">
      <w:pPr>
        <w:pStyle w:val="Compact"/>
        <w:numPr>
          <w:ilvl w:val="0"/>
          <w:numId w:val="2"/>
        </w:numPr>
      </w:pPr>
      <w:r>
        <w:rPr>
          <w:b/>
          <w:bCs/>
        </w:rPr>
        <w:t>Windows/Segoe UI Emoji and Fluent Emoji - July 17:</w:t>
      </w:r>
      <w:r>
        <w:t xml:space="preserve"> accept the 18x18 Ultrasound probe or select CT Scan.</w:t>
      </w:r>
    </w:p>
    <w:p w14:paraId="5C7CCF9D" w14:textId="77777777" w:rsidR="00D3245B" w:rsidRDefault="00A75896">
      <w:pPr>
        <w:pStyle w:val="Compact"/>
        <w:numPr>
          <w:ilvl w:val="0"/>
          <w:numId w:val="2"/>
        </w:numPr>
      </w:pPr>
      <w:r>
        <w:rPr>
          <w:b/>
          <w:bCs/>
        </w:rPr>
        <w:t>Microsoft Legal - July 20:</w:t>
      </w:r>
      <w:r>
        <w:t xml:space="preserve"> clear the CC0 artwork route and final anticipated-implementation statement.</w:t>
      </w:r>
    </w:p>
    <w:p w14:paraId="3B35AC87" w14:textId="77777777" w:rsidR="00D3245B" w:rsidRDefault="00A75896">
      <w:pPr>
        <w:pStyle w:val="Compact"/>
        <w:numPr>
          <w:ilvl w:val="0"/>
          <w:numId w:val="2"/>
        </w:numPr>
      </w:pPr>
      <w:r>
        <w:rPr>
          <w:b/>
          <w:bCs/>
        </w:rPr>
        <w:t>David Rhew and Shuhan He - July 31:</w:t>
      </w:r>
      <w:r>
        <w:t xml:space="preserve"> rebuild, inspect, and file the selected proposal individually.</w:t>
      </w:r>
    </w:p>
    <w:p w14:paraId="15287F80" w14:textId="77777777" w:rsidR="00D3245B" w:rsidRDefault="00A75896">
      <w:pPr>
        <w:pStyle w:val="Heading2"/>
      </w:pPr>
      <w:bookmarkStart w:id="4" w:name="guardrails"/>
      <w:bookmarkEnd w:id="3"/>
      <w:r>
        <w:lastRenderedPageBreak/>
        <w:t>Guardrails</w:t>
      </w:r>
    </w:p>
    <w:p w14:paraId="4DB01DC7" w14:textId="77777777" w:rsidR="00D3245B" w:rsidRDefault="00A75896">
      <w:pPr>
        <w:pStyle w:val="Compact"/>
        <w:numPr>
          <w:ilvl w:val="0"/>
          <w:numId w:val="3"/>
        </w:numPr>
      </w:pPr>
      <w:r>
        <w:t>Shuhan He remains the individual submitter; the Unicode form does not accept a company as the submitter.</w:t>
      </w:r>
    </w:p>
    <w:p w14:paraId="787331AF" w14:textId="77777777" w:rsidR="00D3245B" w:rsidRDefault="00A75896">
      <w:pPr>
        <w:pStyle w:val="Compact"/>
        <w:numPr>
          <w:ilvl w:val="0"/>
          <w:numId w:val="3"/>
        </w:numPr>
      </w:pPr>
      <w:r>
        <w:t>Ask Microsoft’s Unicode contacts about process and venue, never for a preferred technical outcome.</w:t>
      </w:r>
    </w:p>
    <w:p w14:paraId="7645F0F8" w14:textId="77777777" w:rsidR="00D3245B" w:rsidRDefault="00A75896">
      <w:pPr>
        <w:pStyle w:val="Compact"/>
        <w:numPr>
          <w:ilvl w:val="0"/>
          <w:numId w:val="3"/>
        </w:numPr>
      </w:pPr>
      <w:r>
        <w:t>Do not describe Microsoft as supporting implementation until the responsible product owner and legal team approve the language.</w:t>
      </w:r>
    </w:p>
    <w:p w14:paraId="743A5799" w14:textId="77777777" w:rsidR="00D3245B" w:rsidRDefault="00A75896">
      <w:pPr>
        <w:pStyle w:val="Compact"/>
        <w:numPr>
          <w:ilvl w:val="0"/>
          <w:numId w:val="3"/>
        </w:numPr>
      </w:pPr>
      <w:r>
        <w:t>File one lead proposal. A second filing should require a separate product decision and clearly independent evidence.</w:t>
      </w:r>
    </w:p>
    <w:p w14:paraId="7D3F6C02" w14:textId="77777777" w:rsidR="00D3245B" w:rsidRDefault="00A75896">
      <w:pPr>
        <w:pStyle w:val="Compact"/>
        <w:numPr>
          <w:ilvl w:val="0"/>
          <w:numId w:val="3"/>
        </w:numPr>
      </w:pPr>
      <w:r>
        <w:t>Do not file both Pill Box and Pill Pack, or both Blood Bag and IV Bag, without resolving their overlap.</w:t>
      </w:r>
    </w:p>
    <w:p w14:paraId="051F8A6E" w14:textId="77777777" w:rsidR="00D3245B" w:rsidRDefault="00A75896">
      <w:pPr>
        <w:pStyle w:val="Compact"/>
        <w:numPr>
          <w:ilvl w:val="0"/>
          <w:numId w:val="3"/>
        </w:numPr>
      </w:pPr>
      <w:r>
        <w:t>Maze must be framed as a general puzzle and navigation object, not as a neuroscience-awareness cause.</w:t>
      </w:r>
    </w:p>
    <w:p w14:paraId="260E61A0" w14:textId="77777777" w:rsidR="00D3245B" w:rsidRDefault="00A75896">
      <w:pPr>
        <w:pStyle w:val="Compact"/>
        <w:numPr>
          <w:ilvl w:val="0"/>
          <w:numId w:val="3"/>
        </w:numPr>
      </w:pPr>
      <w:r>
        <w:t>First Aid Kit must retain a generic non-red safety cross and must not reproduce a protected humanitarian emblem.</w:t>
      </w:r>
    </w:p>
    <w:p w14:paraId="10C3EB6E" w14:textId="77777777" w:rsidR="00D3245B" w:rsidRDefault="00A75896">
      <w:pPr>
        <w:pStyle w:val="Compact"/>
        <w:numPr>
          <w:ilvl w:val="0"/>
          <w:numId w:val="3"/>
        </w:numPr>
      </w:pPr>
      <w:r>
        <w:t>Evidence gaps are labeled accurately. Do not submit an editorial placeholder as if it were a compliant screenshot.</w:t>
      </w:r>
    </w:p>
    <w:p w14:paraId="472B8632" w14:textId="77777777" w:rsidR="00D3245B" w:rsidRDefault="00A75896">
      <w:pPr>
        <w:pStyle w:val="Heading2"/>
      </w:pPr>
      <w:bookmarkStart w:id="5" w:name="material-ready-for-review"/>
      <w:bookmarkEnd w:id="4"/>
      <w:r>
        <w:t>Material ready for review</w:t>
      </w:r>
    </w:p>
    <w:p w14:paraId="6BC7FE95" w14:textId="77777777" w:rsidR="00D3245B" w:rsidRDefault="00A75896">
      <w:pPr>
        <w:pStyle w:val="Compact"/>
        <w:numPr>
          <w:ilvl w:val="0"/>
          <w:numId w:val="4"/>
        </w:numPr>
      </w:pPr>
      <w:r>
        <w:t>A complete CT Scan fallback packet.</w:t>
      </w:r>
    </w:p>
    <w:p w14:paraId="727E92D6" w14:textId="77777777" w:rsidR="00D3245B" w:rsidRDefault="00A75896">
      <w:pPr>
        <w:pStyle w:val="Compact"/>
        <w:numPr>
          <w:ilvl w:val="0"/>
          <w:numId w:val="4"/>
        </w:numPr>
      </w:pPr>
      <w:r>
        <w:t>Full evidence-gated drafts for Ultrasound, Maze, and First Aid Kit.</w:t>
      </w:r>
    </w:p>
    <w:p w14:paraId="7CD40D8E" w14:textId="77777777" w:rsidR="00D3245B" w:rsidRDefault="00A75896">
      <w:pPr>
        <w:pStyle w:val="Compact"/>
        <w:numPr>
          <w:ilvl w:val="0"/>
          <w:numId w:val="4"/>
        </w:numPr>
      </w:pPr>
      <w:r>
        <w:t>Comparative ranking and independent drafts across the twelve-concept expanded portfolio.</w:t>
      </w:r>
    </w:p>
    <w:p w14:paraId="6E18FD7D" w14:textId="77777777" w:rsidR="00D3245B" w:rsidRDefault="00A75896">
      <w:pPr>
        <w:pStyle w:val="Compact"/>
        <w:numPr>
          <w:ilvl w:val="0"/>
          <w:numId w:val="4"/>
        </w:numPr>
      </w:pPr>
      <w:r>
        <w:t>Original color and black-and-white SVG/PNG artwork released under CC0 1.0.</w:t>
      </w:r>
    </w:p>
    <w:p w14:paraId="4FC19CD2" w14:textId="77777777" w:rsidR="00D3245B" w:rsidRDefault="00A75896">
      <w:pPr>
        <w:pStyle w:val="FirstParagraph"/>
      </w:pPr>
      <w:r>
        <w:t>Proposal release:</w:t>
      </w:r>
    </w:p>
    <w:p w14:paraId="51A9FA3B" w14:textId="77777777" w:rsidR="00D3245B" w:rsidRDefault="00A75896">
      <w:pPr>
        <w:pStyle w:val="BodyText"/>
      </w:pPr>
      <w:r>
        <w:t>https://github.com/ShuhanCS/medicalemoji/tree/codex/eligible-2026-slate/submissions/v1.4.0</w:t>
      </w:r>
    </w:p>
    <w:p w14:paraId="00F19064" w14:textId="77777777" w:rsidR="00D3245B" w:rsidRDefault="00A75896">
      <w:pPr>
        <w:pStyle w:val="BodyText"/>
      </w:pPr>
      <w:r>
        <w:t>Complete CT Scan fallback:</w:t>
      </w:r>
    </w:p>
    <w:p w14:paraId="4E3CEF78" w14:textId="77777777" w:rsidR="00D3245B" w:rsidRDefault="00A75896">
      <w:pPr>
        <w:pStyle w:val="BodyText"/>
      </w:pPr>
      <w:r>
        <w:t>https://github.com/ShuhanCS/medicalemoji/tree/codex/eligible-2026-slate/submissions/v1.3.0/ct-scan</w:t>
      </w:r>
    </w:p>
    <w:p w14:paraId="12BBAFB4" w14:textId="77777777" w:rsidR="00D3245B" w:rsidRDefault="00A75896">
      <w:pPr>
        <w:pStyle w:val="Heading2"/>
      </w:pPr>
      <w:bookmarkStart w:id="6" w:name="source-record"/>
      <w:bookmarkEnd w:id="5"/>
      <w:r>
        <w:t>Source record</w:t>
      </w:r>
    </w:p>
    <w:p w14:paraId="45505AEA" w14:textId="77777777" w:rsidR="00D3245B" w:rsidRDefault="00A75896">
      <w:pPr>
        <w:pStyle w:val="Compact"/>
        <w:numPr>
          <w:ilvl w:val="0"/>
          <w:numId w:val="5"/>
        </w:numPr>
      </w:pPr>
      <w:r>
        <w:t>Unicode proposal guidance: https://www.unicode.org/emoji/proposals.html</w:t>
      </w:r>
    </w:p>
    <w:p w14:paraId="36BCAAA2" w14:textId="77777777" w:rsidR="00D3245B" w:rsidRDefault="00A75896">
      <w:pPr>
        <w:pStyle w:val="Compact"/>
        <w:numPr>
          <w:ilvl w:val="0"/>
          <w:numId w:val="5"/>
        </w:numPr>
      </w:pPr>
      <w:r>
        <w:t>Unicode Emoji Submission FAQ: https://www.unicode.org/faq/emoji_submission.html</w:t>
      </w:r>
    </w:p>
    <w:p w14:paraId="7EEAEAB4" w14:textId="77777777" w:rsidR="00D3245B" w:rsidRDefault="00A75896">
      <w:pPr>
        <w:pStyle w:val="Compact"/>
        <w:numPr>
          <w:ilvl w:val="0"/>
          <w:numId w:val="5"/>
        </w:numPr>
      </w:pPr>
      <w:r>
        <w:t>Unicode proposal status: https://www.unicode.org/emoji/emoji-proposals-status.html</w:t>
      </w:r>
    </w:p>
    <w:p w14:paraId="153B0423" w14:textId="77777777" w:rsidR="00D3245B" w:rsidRDefault="00A75896">
      <w:pPr>
        <w:pStyle w:val="Compact"/>
        <w:numPr>
          <w:ilvl w:val="0"/>
          <w:numId w:val="5"/>
        </w:numPr>
      </w:pPr>
      <w:r>
        <w:t>Microsoft Fluent Emoji: https://github.com/microsoft/fluentui-emoji</w:t>
      </w:r>
    </w:p>
    <w:p w14:paraId="141A793A" w14:textId="77777777" w:rsidR="00D3245B" w:rsidRDefault="00A75896" w:rsidP="00F72417">
      <w:pPr>
        <w:pStyle w:val="Heading1"/>
        <w:pageBreakBefore/>
      </w:pPr>
      <w:bookmarkStart w:id="7" w:name="draft-for-product-and-legal-clearance"/>
      <w:bookmarkEnd w:id="6"/>
      <w:r>
        <w:lastRenderedPageBreak/>
        <w:t>Draft for Product and Legal Clearance</w:t>
      </w:r>
    </w:p>
    <w:p w14:paraId="56A9569F" w14:textId="77777777" w:rsidR="00D3245B" w:rsidRDefault="00A75896">
      <w:pPr>
        <w:pStyle w:val="Heading2"/>
      </w:pPr>
      <w:bookmarkStart w:id="8" w:name="X62623f00acf2320d71bb453f7a241052393aae6"/>
      <w:r>
        <w:t>Microsoft anticipated implementation support</w:t>
      </w:r>
    </w:p>
    <w:p w14:paraId="396D0693" w14:textId="77777777" w:rsidR="00D3245B" w:rsidRDefault="00A75896">
      <w:pPr>
        <w:pStyle w:val="FirstParagraph"/>
      </w:pPr>
      <w:r>
        <w:rPr>
          <w:b/>
          <w:bCs/>
        </w:rPr>
        <w:t>Working text - do not submit until approved and signed by the responsible Microsoft product owner.</w:t>
      </w:r>
    </w:p>
    <w:p w14:paraId="26A21610" w14:textId="77777777" w:rsidR="00D3245B" w:rsidRDefault="00A75896">
      <w:pPr>
        <w:pStyle w:val="BodyText"/>
      </w:pPr>
      <w:r>
        <w:t xml:space="preserve">Microsoft supports the Unicode Consortium’s consideration of the </w:t>
      </w:r>
      <w:r>
        <w:rPr>
          <w:b/>
          <w:bCs/>
        </w:rPr>
        <w:t>[Ultrasound / CT Scan - select one]</w:t>
      </w:r>
      <w:r>
        <w:t xml:space="preserve"> emoji proposal submitted by Shuhan He. If the character is encoded and recommended for general interchange as emoji, Microsoft anticipates implementing it in Segoe UI Emoji and relevant Microsoft emoji experiences through its standard design, product-planning, accessibility, legal, and release processes.</w:t>
      </w:r>
    </w:p>
    <w:p w14:paraId="3335236D" w14:textId="77777777" w:rsidR="00D3245B" w:rsidRDefault="00A75896">
      <w:pPr>
        <w:pStyle w:val="BodyText"/>
      </w:pPr>
      <w:r>
        <w:t>Microsoft would retain control of its vendor-specific artwork and implementation schedule. This statement supplies anticipated vendor support; it does not request preferential treatment, pre-judge Unicode’s technical review, or bypass Microsoft’s normal approvals.</w:t>
      </w:r>
    </w:p>
    <w:p w14:paraId="189CEE9B" w14:textId="77777777" w:rsidR="00D3245B" w:rsidRDefault="00A75896">
      <w:pPr>
        <w:pStyle w:val="BodyText"/>
      </w:pPr>
      <w:r>
        <w:t xml:space="preserve">Select </w:t>
      </w:r>
      <w:r>
        <w:rPr>
          <w:rStyle w:val="VerbatimChar"/>
        </w:rPr>
        <w:t>Ultrasound</w:t>
      </w:r>
      <w:r>
        <w:t xml:space="preserve"> only after all four missing Google screenshots are inserted and the design owner approves the monitor-and-probe paradigm. Otherwise select </w:t>
      </w:r>
      <w:r>
        <w:rPr>
          <w:rStyle w:val="VerbatimChar"/>
        </w:rPr>
        <w:t>CT Scan</w:t>
      </w:r>
      <w:r>
        <w:t xml:space="preserve"> and refresh its historical evidence where a clean manual session permits it.</w:t>
      </w:r>
    </w:p>
    <w:p w14:paraId="577A7A43" w14:textId="77777777" w:rsidR="00D3245B" w:rsidRDefault="00A75896">
      <w:pPr>
        <w:pStyle w:val="BodyText"/>
      </w:pPr>
      <w:r>
        <w:rPr>
          <w:b/>
          <w:bCs/>
        </w:rPr>
        <w:t>Approved by:</w:t>
      </w:r>
      <w:r>
        <w:t xml:space="preserve"> ____________________________________</w:t>
      </w:r>
      <w:r>
        <w:br/>
      </w:r>
      <w:r>
        <w:rPr>
          <w:b/>
          <w:bCs/>
        </w:rPr>
        <w:t>Title / product responsibility:</w:t>
      </w:r>
      <w:r>
        <w:t xml:space="preserve"> _________________________</w:t>
      </w:r>
      <w:r>
        <w:br/>
      </w:r>
      <w:r>
        <w:rPr>
          <w:b/>
          <w:bCs/>
        </w:rPr>
        <w:t>Date:</w:t>
      </w:r>
      <w:r>
        <w:t xml:space="preserve"> __________________</w:t>
      </w:r>
      <w:r>
        <w:br/>
      </w:r>
      <w:r>
        <w:rPr>
          <w:b/>
          <w:bCs/>
        </w:rPr>
        <w:t>Microsoft contact:</w:t>
      </w:r>
      <w:r>
        <w:t xml:space="preserve"> __________________________________</w:t>
      </w:r>
      <w:bookmarkEnd w:id="7"/>
      <w:bookmarkEnd w:id="8"/>
    </w:p>
    <w:sectPr w:rsidR="00D3245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54FB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EC806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D14E4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63849748">
    <w:abstractNumId w:val="0"/>
  </w:num>
  <w:num w:numId="2" w16cid:durableId="1208490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41313775">
    <w:abstractNumId w:val="1"/>
  </w:num>
  <w:num w:numId="4" w16cid:durableId="1449736571">
    <w:abstractNumId w:val="1"/>
  </w:num>
  <w:num w:numId="5" w16cid:durableId="1733653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3245B"/>
    <w:rsid w:val="003F3FAB"/>
    <w:rsid w:val="00A75896"/>
    <w:rsid w:val="00D3245B"/>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077F"/>
  <w15:docId w15:val="{2BD69ADF-0D21-465E-99CB-689231180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980</Words>
  <Characters>5589</Characters>
  <Application>Microsoft Office Word</Application>
  <DocSecurity>0</DocSecurity>
  <Lines>46</Lines>
  <Paragraphs>13</Paragraphs>
  <ScaleCrop>false</ScaleCrop>
  <Company/>
  <LinksUpToDate>false</LinksUpToDate>
  <CharactersWithSpaces>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Medical Emoji: Microsoft Internal Decision Brief</dc:title>
  <dc:creator>Prepared for David Rhew, MD, and Vishal Chowdhary</dc:creator>
  <cp:keywords/>
  <cp:lastModifiedBy>Shuhan He, MD Han</cp:lastModifiedBy>
  <cp:revision>2</cp:revision>
  <dcterms:created xsi:type="dcterms:W3CDTF">2026-07-10T14:56:00Z</dcterms:created>
  <dcterms:modified xsi:type="dcterms:W3CDTF">2026-07-10T14:56:00Z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13, 2026</vt:lpwstr>
  </property>
  <property fmtid="{D5CDD505-2E9C-101B-9397-08002B2CF9AE}" pid="3" name="subtitle">
    <vt:lpwstr>Choose one lead and preserve one filing-ready fallback before July 31</vt:lpwstr>
  </property>
</Properties>
</file>