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Health-related emoji coverage</w:t>
      </w:r>
    </w:p>
    <w:p>
      <w:pPr>
        <w:pStyle w:val="SourceCode"/>
      </w:pPr>
      <w:r>
        <w:rPr>
          <w:rStyle w:val="VerbatimChar"/>
        </w:rPr>
        <w:t xml:space="preserve">Title:  Health-related emoji coverage</w:t>
      </w:r>
      <w:r>
        <w:br/>
      </w:r>
      <w:r>
        <w:rPr>
          <w:rStyle w:val="VerbatimChar"/>
        </w:rPr>
        <w:t xml:space="preserve">Authors: David Rhew; Heena Purohit; Shuhan He</w:t>
      </w:r>
      <w:r>
        <w:br/>
      </w:r>
      <w:r>
        <w:rPr>
          <w:rStyle w:val="VerbatimChar"/>
        </w:rPr>
        <w:t xml:space="preserve">Date:   2026-07-13</w:t>
      </w:r>
      <w:r>
        <w:br/>
      </w:r>
      <w:r>
        <w:rPr>
          <w:rStyle w:val="VerbatimChar"/>
        </w:rPr>
        <w:t xml:space="preserve">Action: Refer to the Emoji Standard &amp; Research Working Group</w:t>
      </w:r>
      <w:r>
        <w:br/>
      </w:r>
      <w:r>
        <w:rPr>
          <w:rStyle w:val="VerbatimChar"/>
        </w:rPr>
        <w:t xml:space="preserve">        for review and recommendation</w:t>
      </w:r>
    </w:p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Health-related emoji appear across anatomy, diagnostics, laboratory science, medication, emergency care,</w:t>
      </w:r>
      <w:r>
        <w:t xml:space="preserve"> </w:t>
      </w:r>
      <w:r>
        <w:t xml:space="preserve">and clinical equipment. Individual proposals are reviewed one at a time, but they often raise the same</w:t>
      </w:r>
      <w:r>
        <w:t xml:space="preserve"> </w:t>
      </w:r>
      <w:r>
        <w:t xml:space="preserve">questions: whether an existing emoji is an adequate substitute, whether two concepts are visually distinct,</w:t>
      </w:r>
      <w:r>
        <w:t xml:space="preserve"> </w:t>
      </w:r>
      <w:r>
        <w:t xml:space="preserve">whether expected usage is broad enough, and whether one proposal would lead to an open-ended set.</w:t>
      </w:r>
    </w:p>
    <w:p>
      <w:pPr>
        <w:pStyle w:val="BodyText"/>
      </w:pPr>
      <w:r>
        <w:t xml:space="preserve">We ask the Unicode Technical Committee to refer these recurring questions to the Emoji Standard &amp; Research</w:t>
      </w:r>
      <w:r>
        <w:t xml:space="preserve"> </w:t>
      </w:r>
      <w:r>
        <w:t xml:space="preserve">Working Group. The review would examine how existing health-related emoji are represented and found, and</w:t>
      </w:r>
      <w:r>
        <w:t xml:space="preserve"> </w:t>
      </w:r>
      <w:r>
        <w:t xml:space="preserve">whether the current proposal guidance gives enough direction for closely related medical concepts. Every new</w:t>
      </w:r>
      <w:r>
        <w:t xml:space="preserve"> </w:t>
      </w:r>
      <w:r>
        <w:t xml:space="preserve">emoji would continue to require its own complete submission through the official Emoji Submission Form.</w:t>
      </w:r>
    </w:p>
    <w:bookmarkEnd w:id="9"/>
    <w:bookmarkStart w:id="10" w:name="questions-for-review"/>
    <w:p>
      <w:pPr>
        <w:pStyle w:val="Heading1"/>
      </w:pPr>
      <w:r>
        <w:t xml:space="preserve">Questions for review</w:t>
      </w:r>
    </w:p>
    <w:p>
      <w:pPr>
        <w:pStyle w:val="Compact"/>
        <w:numPr>
          <w:ilvl w:val="0"/>
          <w:numId w:val="1001"/>
        </w:numPr>
      </w:pPr>
      <w:r>
        <w:t xml:space="preserve">Would a review of related health emoji help ESR assess existing substitutes and closely related proposals</w:t>
      </w:r>
      <w:r>
        <w:t xml:space="preserve"> </w:t>
      </w:r>
      <w:r>
        <w:t xml:space="preserve">more consistently?</w:t>
      </w:r>
    </w:p>
    <w:p>
      <w:pPr>
        <w:pStyle w:val="Compact"/>
        <w:numPr>
          <w:ilvl w:val="0"/>
          <w:numId w:val="1001"/>
        </w:numPr>
      </w:pPr>
      <w:r>
        <w:t xml:space="preserve">Are common health-related emoji easy to find through their current names, keywords, ordering, and vendor</w:t>
      </w:r>
      <w:r>
        <w:t xml:space="preserve"> </w:t>
      </w:r>
      <w:r>
        <w:t xml:space="preserve">keyboard layouts? If not, which standards or platform group should address the problem?</w:t>
      </w:r>
    </w:p>
    <w:p>
      <w:pPr>
        <w:pStyle w:val="Compact"/>
        <w:numPr>
          <w:ilvl w:val="0"/>
          <w:numId w:val="1001"/>
        </w:numPr>
      </w:pPr>
      <w:r>
        <w:t xml:space="preserve">Does the published guidance give enough direction for concepts that are medically distinct but visually</w:t>
      </w:r>
      <w:r>
        <w:t xml:space="preserve"> </w:t>
      </w:r>
      <w:r>
        <w:t xml:space="preserve">related, such as Blood Bag and IV Bag or Pill Box and Pill Pack?</w:t>
      </w:r>
    </w:p>
    <w:p>
      <w:pPr>
        <w:pStyle w:val="Compact"/>
        <w:numPr>
          <w:ilvl w:val="0"/>
          <w:numId w:val="1001"/>
        </w:numPr>
      </w:pPr>
      <w:r>
        <w:t xml:space="preserve">Would a short public note on recognition at small sizes, black-and-white legibility, and category-completion</w:t>
      </w:r>
      <w:r>
        <w:t xml:space="preserve"> </w:t>
      </w:r>
      <w:r>
        <w:t xml:space="preserve">arguments help submitters avoid recurring problems?</w:t>
      </w:r>
    </w:p>
    <w:p>
      <w:pPr>
        <w:pStyle w:val="Compact"/>
        <w:numPr>
          <w:ilvl w:val="0"/>
          <w:numId w:val="1001"/>
        </w:numPr>
      </w:pPr>
      <w:r>
        <w:t xml:space="preserve">If the current guidance already answers these questions, can ESR identify the material that submitters</w:t>
      </w:r>
      <w:r>
        <w:t xml:space="preserve"> </w:t>
      </w:r>
      <w:r>
        <w:t xml:space="preserve">should follow?</w:t>
      </w:r>
    </w:p>
    <w:bookmarkEnd w:id="10"/>
    <w:bookmarkStart w:id="11" w:name="why-this-question-has-arisen"/>
    <w:p>
      <w:pPr>
        <w:pStyle w:val="Heading1"/>
      </w:pPr>
      <w:r>
        <w:t xml:space="preserve">Why this question has arisen</w:t>
      </w:r>
    </w:p>
    <w:p>
      <w:pPr>
        <w:pStyle w:val="FirstParagraph"/>
      </w:pPr>
      <w:r>
        <w:t xml:space="preserve">The current Unicode Emoji Ordering places Syringe, Pill, Drop of Blood, Adhesive Bandage, Stethoscope, X-Ray,</w:t>
      </w:r>
      <w:r>
        <w:t xml:space="preserve"> </w:t>
      </w:r>
      <w:r>
        <w:t xml:space="preserve">and Crutch in</w:t>
      </w:r>
      <w:r>
        <w:t xml:space="preserve"> </w:t>
      </w:r>
      <w:r>
        <w:rPr>
          <w:rStyle w:val="VerbatimChar"/>
        </w:rPr>
        <w:t xml:space="preserve">Objects &gt; medical</w:t>
      </w:r>
      <w:r>
        <w:t xml:space="preserve">. Anatomical Heart, Lungs, and Brain are in</w:t>
      </w:r>
      <w:r>
        <w:t xml:space="preserve"> </w:t>
      </w:r>
      <w:r>
        <w:rPr>
          <w:rStyle w:val="VerbatimChar"/>
        </w:rPr>
        <w:t xml:space="preserve">People &amp; Body &gt; body-parts</w:t>
      </w:r>
      <w:r>
        <w:t xml:space="preserve">; Test Tube, Petri Dish, and DNA are in</w:t>
      </w:r>
      <w:r>
        <w:t xml:space="preserve"> </w:t>
      </w:r>
      <w:r>
        <w:rPr>
          <w:rStyle w:val="VerbatimChar"/>
        </w:rPr>
        <w:t xml:space="preserve">Objects &gt; science</w:t>
      </w:r>
      <w:r>
        <w:t xml:space="preserve">; Hospital and Ambulance</w:t>
      </w:r>
      <w:r>
        <w:t xml:space="preserve"> </w:t>
      </w:r>
      <w:r>
        <w:t xml:space="preserve">are in</w:t>
      </w:r>
      <w:r>
        <w:t xml:space="preserve"> </w:t>
      </w:r>
      <w:r>
        <w:rPr>
          <w:rStyle w:val="VerbatimChar"/>
        </w:rPr>
        <w:t xml:space="preserve">Travel &amp; Places</w:t>
      </w:r>
      <w:r>
        <w:t xml:space="preserve">; and Medical Symbol and Wheelchair Symbol are in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. This document does not</w:t>
      </w:r>
      <w:r>
        <w:t xml:space="preserve"> </w:t>
      </w:r>
      <w:r>
        <w:t xml:space="preserve">propose moving those emoji. Their distribution is one reason a focused review of discoverability, existing</w:t>
      </w:r>
      <w:r>
        <w:t xml:space="preserve"> </w:t>
      </w:r>
      <w:r>
        <w:t xml:space="preserve">substitutes, and closely related proposals may be useful.</w:t>
      </w:r>
    </w:p>
    <w:p>
      <w:pPr>
        <w:pStyle w:val="BodyText"/>
      </w:pPr>
      <w:r>
        <w:t xml:space="preserve">An individual proposal must still show that its concept is independently useful, that an existing emoji cannot</w:t>
      </w:r>
      <w:r>
        <w:t xml:space="preserve"> </w:t>
      </w:r>
      <w:r>
        <w:t xml:space="preserve">express it adequately, and that the image remains clear at emoji size.</w:t>
      </w:r>
    </w:p>
    <w:p>
      <w:pPr>
        <w:pStyle w:val="BodyText"/>
      </w:pPr>
      <w:r>
        <w:t xml:space="preserve">The 2026 intake also makes the procedural distinction important. Individual emoji proposals must be submitted</w:t>
      </w:r>
      <w:r>
        <w:t xml:space="preserve"> </w:t>
      </w:r>
      <w:r>
        <w:t xml:space="preserve">through the Emoji Submission Form. A UTC discussion document follows Unicode’s separate document-submission</w:t>
      </w:r>
      <w:r>
        <w:t xml:space="preserve"> </w:t>
      </w:r>
      <w:r>
        <w:t xml:space="preserve">process and may be placed on a UTC agenda or referred to a working group. The two routes serve different</w:t>
      </w:r>
      <w:r>
        <w:t xml:space="preserve"> </w:t>
      </w:r>
      <w:r>
        <w:t xml:space="preserve">purposes.</w:t>
      </w:r>
    </w:p>
    <w:bookmarkEnd w:id="11"/>
    <w:bookmarkStart w:id="17" w:name="related-history"/>
    <w:p>
      <w:pPr>
        <w:pStyle w:val="Heading1"/>
      </w:pPr>
      <w:r>
        <w:t xml:space="preserve">Related history</w:t>
      </w:r>
    </w:p>
    <w:bookmarkStart w:id="13" w:name="apples-2018-accessibility-proposal"/>
    <w:p>
      <w:pPr>
        <w:pStyle w:val="Heading2"/>
      </w:pPr>
      <w:r>
        <w:t xml:space="preserve">Apple’s 2018 accessibility proposal</w:t>
      </w:r>
    </w:p>
    <w:p>
      <w:pPr>
        <w:pStyle w:val="FirstParagraph"/>
      </w:pPr>
      <w:r>
        <w:t xml:space="preserve">Apple’s L2/18-080 proposed nine accessibility emoji organized around four areas: Blind and Low Vision, Deaf</w:t>
      </w:r>
      <w:r>
        <w:t xml:space="preserve"> </w:t>
      </w:r>
      <w:r>
        <w:t xml:space="preserve">and Hard of Hearing, Physical Motor, and Hidden Disabilities. Apple described the set as a finite starting</w:t>
      </w:r>
      <w:r>
        <w:t xml:space="preserve"> </w:t>
      </w:r>
      <w:r>
        <w:t xml:space="preserve">point rather than a comprehensive catalogue, worked with disability organizations, and addressed Unicode’s</w:t>
      </w:r>
      <w:r>
        <w:t xml:space="preserve"> </w:t>
      </w:r>
      <w:r>
        <w:t xml:space="preserve">open-ended exclusion factor directly.</w:t>
      </w:r>
    </w:p>
    <w:p>
      <w:pPr>
        <w:pStyle w:val="BodyText"/>
      </w:pPr>
      <w:r>
        <w:t xml:space="preserve">The Apple document is a public example of a vendor explaining how several related concepts fit together. It</w:t>
      </w:r>
      <w:r>
        <w:t xml:space="preserve"> </w:t>
      </w:r>
      <w:r>
        <w:t xml:space="preserve">used the emoji-proposal process available in 2018. Under the 2026 guidance, each encoding proposal must use the</w:t>
      </w:r>
      <w:r>
        <w:t xml:space="preserve"> </w:t>
      </w:r>
      <w:r>
        <w:t xml:space="preserve">official form and is evaluated on its own evidence.</w:t>
      </w:r>
    </w:p>
    <w:p>
      <w:pPr>
        <w:pStyle w:val="BodyText"/>
      </w:pPr>
      <w:r>
        <w:t xml:space="preserve">Source:</w:t>
      </w:r>
      <w:r>
        <w:t xml:space="preserve"> </w:t>
      </w:r>
      <w:hyperlink r:id="rId12">
        <w:r>
          <w:rPr>
            <w:rStyle w:val="Hyperlink"/>
          </w:rPr>
          <w:t xml:space="preserve">https://www.unicode.org/L2/L2018/18080-accessibility-emoji.pdf</w:t>
        </w:r>
      </w:hyperlink>
    </w:p>
    <w:bookmarkEnd w:id="13"/>
    <w:bookmarkStart w:id="16" w:name="anatomical-heart-and-lungs"/>
    <w:p>
      <w:pPr>
        <w:pStyle w:val="Heading2"/>
      </w:pPr>
      <w:r>
        <w:t xml:space="preserve">Anatomical Heart and Lungs</w:t>
      </w:r>
    </w:p>
    <w:p>
      <w:pPr>
        <w:pStyle w:val="FirstParagraph"/>
      </w:pPr>
      <w:r>
        <w:t xml:space="preserve">In 2019, Christian Kamkoff, Shuhan He, and Melissa Thermidor submitted separate proposals for Anatomical Heart</w:t>
      </w:r>
      <w:r>
        <w:t xml:space="preserve"> </w:t>
      </w:r>
      <w:r>
        <w:t xml:space="preserve">and Lungs. Unicode later encoded both characters. Their history shows that related health concepts can be</w:t>
      </w:r>
      <w:r>
        <w:t xml:space="preserve"> </w:t>
      </w:r>
      <w:r>
        <w:t xml:space="preserve">considered together while each proposal makes its own case.</w:t>
      </w:r>
    </w:p>
    <w:p>
      <w:pPr>
        <w:pStyle w:val="BodyText"/>
      </w:pPr>
      <w:r>
        <w:t xml:space="preserve">Sources: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https://www.unicode.org/L2/L2019/19149-lung-emoji.pdf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https://www.unicode.org/L2/L2019/19150-heart-emoji.pdf</w:t>
        </w:r>
      </w:hyperlink>
    </w:p>
    <w:bookmarkEnd w:id="16"/>
    <w:bookmarkEnd w:id="17"/>
    <w:bookmarkStart w:id="18" w:name="scope-of-the-review"/>
    <w:p>
      <w:pPr>
        <w:pStyle w:val="Heading1"/>
      </w:pPr>
      <w:r>
        <w:t xml:space="preserve">Scope of the review</w:t>
      </w:r>
    </w:p>
    <w:p>
      <w:pPr>
        <w:pStyle w:val="FirstParagraph"/>
      </w:pPr>
      <w:r>
        <w:t xml:space="preserve">The review could use six working areas. These are not proposed keyboard categories.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Anatomy:</w:t>
      </w:r>
      <w:r>
        <w:t xml:space="preserve"> </w:t>
      </w:r>
      <w:r>
        <w:t xml:space="preserve">how proposed internal organs should address category completion and open-endedness.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Diagnostics:</w:t>
      </w:r>
      <w:r>
        <w:t xml:space="preserve"> </w:t>
      </w:r>
      <w:r>
        <w:t xml:space="preserve">when CT Scan, Ultrasound, or another modality adds a recognizable procedure or object beyond</w:t>
      </w:r>
      <w:r>
        <w:t xml:space="preserve"> </w:t>
      </w:r>
      <w:r>
        <w:t xml:space="preserve">X-Ray and Stethoscope.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Laboratory science:</w:t>
      </w:r>
      <w:r>
        <w:t xml:space="preserve"> </w:t>
      </w:r>
      <w:r>
        <w:t xml:space="preserve">visual overlap among cells, microbes, specimens, and laboratory equipment.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Medication:</w:t>
      </w:r>
      <w:r>
        <w:t xml:space="preserve"> </w:t>
      </w:r>
      <w:r>
        <w:t xml:space="preserve">how organizers, packaging, delivery devices, and adherence concepts should address the</w:t>
      </w:r>
      <w:r>
        <w:t xml:space="preserve"> </w:t>
      </w:r>
      <w:r>
        <w:t xml:space="preserve">existing Pill and Syringe emoji.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Emergency care:</w:t>
      </w:r>
      <w:r>
        <w:t xml:space="preserve"> </w:t>
      </w:r>
      <w:r>
        <w:t xml:space="preserve">when an additional object has a broad communication function beyond Adhesive Bandage,</w:t>
      </w:r>
      <w:r>
        <w:t xml:space="preserve"> </w:t>
      </w:r>
      <w:r>
        <w:t xml:space="preserve">Crutch, Ambulance, and Hospital.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Clinical equipment:</w:t>
      </w:r>
      <w:r>
        <w:t xml:space="preserve"> </w:t>
      </w:r>
      <w:r>
        <w:t xml:space="preserve">recognition at small sizes, color independence, and overlap among equipment</w:t>
      </w:r>
      <w:r>
        <w:t xml:space="preserve"> </w:t>
      </w:r>
      <w:r>
        <w:t xml:space="preserve">silhouettes.</w:t>
      </w:r>
    </w:p>
    <w:p>
      <w:pPr>
        <w:pStyle w:val="FirstParagraph"/>
      </w:pPr>
      <w:r>
        <w:t xml:space="preserve">These areas would organize the review. They do not imply that every gap should produce a character or that</w:t>
      </w:r>
      <w:r>
        <w:t xml:space="preserve"> </w:t>
      </w:r>
      <w:r>
        <w:t xml:space="preserve">Unicode should create a top-level Health group.</w:t>
      </w:r>
    </w:p>
    <w:bookmarkEnd w:id="18"/>
    <w:bookmarkStart w:id="19" w:name="relationship-to-individual-proposals"/>
    <w:p>
      <w:pPr>
        <w:pStyle w:val="Heading1"/>
      </w:pPr>
      <w:r>
        <w:t xml:space="preserve">Relationship to individual proposals</w:t>
      </w:r>
    </w:p>
    <w:p>
      <w:pPr>
        <w:pStyle w:val="FirstParagraph"/>
      </w:pPr>
      <w:r>
        <w:t xml:space="preserve">Each proposed emoji must stand on its own. A complete submission includes the required color and</w:t>
      </w:r>
      <w:r>
        <w:t xml:space="preserve"> </w:t>
      </w:r>
      <w:r>
        <w:t xml:space="preserve">black-and-white images, keywords, category and sort location, expected-usage evidence, inclusion and exclusion</w:t>
      </w:r>
      <w:r>
        <w:t xml:space="preserve"> </w:t>
      </w:r>
      <w:r>
        <w:t xml:space="preserve">factors, image-rights warranty, and relevant proposal history.</w:t>
      </w:r>
    </w:p>
    <w:p>
      <w:pPr>
        <w:pStyle w:val="BodyText"/>
      </w:pPr>
      <w:r>
        <w:t xml:space="preserve">This document takes no position on any candidate. Each candidate requires a separate submission and decision.</w:t>
      </w:r>
    </w:p>
    <w:bookmarkEnd w:id="19"/>
    <w:bookmarkStart w:id="20" w:name="vendor-input"/>
    <w:p>
      <w:pPr>
        <w:pStyle w:val="Heading1"/>
      </w:pPr>
      <w:r>
        <w:t xml:space="preserve">Vendor input</w:t>
      </w:r>
    </w:p>
    <w:p>
      <w:pPr>
        <w:pStyle w:val="FirstParagraph"/>
      </w:pPr>
      <w:r>
        <w:t xml:space="preserve">Vendor reviewers can provide useful technical observations without committing to implement a candidate. Their</w:t>
      </w:r>
      <w:r>
        <w:t xml:space="preserve"> </w:t>
      </w:r>
      <w:r>
        <w:t xml:space="preserve">input may address:</w:t>
      </w:r>
    </w:p>
    <w:p>
      <w:pPr>
        <w:pStyle w:val="Compact"/>
        <w:numPr>
          <w:ilvl w:val="0"/>
          <w:numId w:val="1004"/>
        </w:numPr>
      </w:pPr>
      <w:r>
        <w:t xml:space="preserve">whether an unfamiliar viewer can identify the image at common emoji sizes;</w:t>
      </w:r>
    </w:p>
    <w:p>
      <w:pPr>
        <w:pStyle w:val="Compact"/>
        <w:numPr>
          <w:ilvl w:val="0"/>
          <w:numId w:val="1004"/>
        </w:numPr>
      </w:pPr>
      <w:r>
        <w:t xml:space="preserve">whether the meaning survives in black and white;</w:t>
      </w:r>
    </w:p>
    <w:p>
      <w:pPr>
        <w:pStyle w:val="Compact"/>
        <w:numPr>
          <w:ilvl w:val="0"/>
          <w:numId w:val="1004"/>
        </w:numPr>
      </w:pPr>
      <w:r>
        <w:t xml:space="preserve">whether the design is platform-neutral and free of text or protected symbols;</w:t>
      </w:r>
    </w:p>
    <w:p>
      <w:pPr>
        <w:pStyle w:val="Compact"/>
        <w:numPr>
          <w:ilvl w:val="0"/>
          <w:numId w:val="1004"/>
        </w:numPr>
      </w:pPr>
      <w:r>
        <w:t xml:space="preserve">whether two related concepts would be distinguishable in the same emoji set; and</w:t>
      </w:r>
    </w:p>
    <w:p>
      <w:pPr>
        <w:pStyle w:val="Compact"/>
        <w:numPr>
          <w:ilvl w:val="0"/>
          <w:numId w:val="1004"/>
        </w:numPr>
      </w:pPr>
      <w:r>
        <w:t xml:space="preserve">whether implementation or interoperability concerns should be shared with ESR.</w:t>
      </w:r>
    </w:p>
    <w:p>
      <w:pPr>
        <w:pStyle w:val="FirstParagraph"/>
      </w:pPr>
      <w:r>
        <w:t xml:space="preserve">Submitters remain responsible for evidence, licensing, and proposal completeness.</w:t>
      </w:r>
    </w:p>
    <w:bookmarkEnd w:id="20"/>
    <w:bookmarkStart w:id="21" w:name="requested-action"/>
    <w:p>
      <w:pPr>
        <w:pStyle w:val="Heading1"/>
      </w:pPr>
      <w:r>
        <w:t xml:space="preserve">Requested action</w:t>
      </w:r>
    </w:p>
    <w:p>
      <w:pPr>
        <w:pStyle w:val="FirstParagraph"/>
      </w:pPr>
      <w:r>
        <w:t xml:space="preserve">We ask the UTC to refer this document to ESR for review and recommendation. ESR could advise whether the</w:t>
      </w:r>
      <w:r>
        <w:t xml:space="preserve"> </w:t>
      </w:r>
      <w:r>
        <w:t xml:space="preserve">current guidance is sufficient, whether a short public note or focused review would help, or whether no</w:t>
      </w:r>
      <w:r>
        <w:t xml:space="preserve"> </w:t>
      </w:r>
      <w:r>
        <w:t xml:space="preserve">further action is needed.</w:t>
      </w:r>
    </w:p>
    <w:p>
      <w:pPr>
        <w:pStyle w:val="BodyText"/>
      </w:pPr>
      <w:r>
        <w:t xml:space="preserve">This document requests no character encoding and no bundled approval. Every candidate remains subject to the</w:t>
      </w:r>
      <w:r>
        <w:t xml:space="preserve"> </w:t>
      </w:r>
      <w:r>
        <w:t xml:space="preserve">official Emoji Submission Form and an independent review under Unicode’s published criteria.</w:t>
      </w:r>
    </w:p>
    <w:bookmarkEnd w:id="21"/>
    <w:bookmarkStart w:id="29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Unicode, Guidelines for Submitting Unicode Emoji Proposals:</w:t>
      </w:r>
      <w:r>
        <w:br/>
      </w:r>
      <w:hyperlink r:id="rId22">
        <w:r>
          <w:rPr>
            <w:rStyle w:val="Hyperlink"/>
          </w:rPr>
          <w:t xml:space="preserve">https://www.unicode.org/emoji/proposals.html</w:t>
        </w:r>
      </w:hyperlink>
    </w:p>
    <w:p>
      <w:pPr>
        <w:pStyle w:val="Compact"/>
        <w:numPr>
          <w:ilvl w:val="0"/>
          <w:numId w:val="1005"/>
        </w:numPr>
      </w:pPr>
      <w:r>
        <w:t xml:space="preserve">Unicode, Pending Document Submission:</w:t>
      </w:r>
      <w:r>
        <w:br/>
      </w:r>
      <w:hyperlink r:id="rId23">
        <w:r>
          <w:rPr>
            <w:rStyle w:val="Hyperlink"/>
          </w:rPr>
          <w:t xml:space="preserve">https://www.unicode.org/pending/docsubmit.html</w:t>
        </w:r>
      </w:hyperlink>
    </w:p>
    <w:p>
      <w:pPr>
        <w:pStyle w:val="Compact"/>
        <w:numPr>
          <w:ilvl w:val="0"/>
          <w:numId w:val="1005"/>
        </w:numPr>
      </w:pPr>
      <w:r>
        <w:t xml:space="preserve">Unicode, Emoji Submission FAQ:</w:t>
      </w:r>
      <w:r>
        <w:br/>
      </w:r>
      <w:hyperlink r:id="rId24">
        <w:r>
          <w:rPr>
            <w:rStyle w:val="Hyperlink"/>
          </w:rPr>
          <w:t xml:space="preserve">https://www.unicode.org/faq/emoji_submission.html</w:t>
        </w:r>
      </w:hyperlink>
    </w:p>
    <w:p>
      <w:pPr>
        <w:pStyle w:val="Compact"/>
        <w:numPr>
          <w:ilvl w:val="0"/>
          <w:numId w:val="1005"/>
        </w:numPr>
      </w:pPr>
      <w:r>
        <w:t xml:space="preserve">Unicode, Emoji Standard &amp; Research Working Group Report for UTC #186:</w:t>
      </w:r>
      <w:r>
        <w:br/>
      </w:r>
      <w:hyperlink r:id="rId25">
        <w:r>
          <w:rPr>
            <w:rStyle w:val="Hyperlink"/>
          </w:rPr>
          <w:t xml:space="preserve">https://www.unicode.org/L2/L2026/26008r-esr-report-utc186.pdf</w:t>
        </w:r>
      </w:hyperlink>
    </w:p>
    <w:p>
      <w:pPr>
        <w:pStyle w:val="Compact"/>
        <w:numPr>
          <w:ilvl w:val="0"/>
          <w:numId w:val="1005"/>
        </w:numPr>
      </w:pPr>
      <w:r>
        <w:t xml:space="preserve">Unicode, Emoji Ordering:</w:t>
      </w:r>
      <w:r>
        <w:br/>
      </w:r>
      <w:hyperlink r:id="rId26">
        <w:r>
          <w:rPr>
            <w:rStyle w:val="Hyperlink"/>
          </w:rPr>
          <w:t xml:space="preserve">https://unicode.org/emoji/charts/emoji-ordering.html</w:t>
        </w:r>
      </w:hyperlink>
    </w:p>
    <w:p>
      <w:pPr>
        <w:pStyle w:val="Compact"/>
        <w:numPr>
          <w:ilvl w:val="0"/>
          <w:numId w:val="1005"/>
        </w:numPr>
      </w:pPr>
      <w:r>
        <w:t xml:space="preserve">Unicode, Unicode Emoji List:</w:t>
      </w:r>
      <w:r>
        <w:br/>
      </w:r>
      <w:hyperlink r:id="rId27">
        <w:r>
          <w:rPr>
            <w:rStyle w:val="Hyperlink"/>
          </w:rPr>
          <w:t xml:space="preserve">https://unicode.org/emoji/charts/emoji-list.html</w:t>
        </w:r>
      </w:hyperlink>
    </w:p>
    <w:p>
      <w:pPr>
        <w:pStyle w:val="Compact"/>
        <w:numPr>
          <w:ilvl w:val="0"/>
          <w:numId w:val="1005"/>
        </w:numPr>
      </w:pPr>
      <w:r>
        <w:t xml:space="preserve">Unicode, Unicode Standard Annex #51:</w:t>
      </w:r>
      <w:r>
        <w:br/>
      </w:r>
      <w:hyperlink r:id="rId28">
        <w:r>
          <w:rPr>
            <w:rStyle w:val="Hyperlink"/>
          </w:rPr>
          <w:t xml:space="preserve">https://www.unicode.org/reports/tr51/</w:t>
        </w:r>
      </w:hyperlink>
    </w:p>
    <w:p>
      <w:pPr>
        <w:pStyle w:val="Compact"/>
        <w:numPr>
          <w:ilvl w:val="0"/>
          <w:numId w:val="1005"/>
        </w:numPr>
      </w:pPr>
      <w:r>
        <w:t xml:space="preserve">Apple, Proposal for New Accessibility Emoji, L2/18-080:</w:t>
      </w:r>
      <w:r>
        <w:br/>
      </w:r>
      <w:hyperlink r:id="rId12">
        <w:r>
          <w:rPr>
            <w:rStyle w:val="Hyperlink"/>
          </w:rPr>
          <w:t xml:space="preserve">https://www.unicode.org/L2/L2018/18080-accessibility-emoji.pdf</w:t>
        </w:r>
      </w:hyperlink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unicode.org/emoji/charts/emoji-list.html" TargetMode="External" /><Relationship Type="http://schemas.openxmlformats.org/officeDocument/2006/relationships/hyperlink" Id="rId26" Target="https://unicode.org/emoji/charts/emoji-ordering.html" TargetMode="External" /><Relationship Type="http://schemas.openxmlformats.org/officeDocument/2006/relationships/hyperlink" Id="rId12" Target="https://www.unicode.org/L2/L2018/18080-accessibility-emoji.pdf" TargetMode="External" /><Relationship Type="http://schemas.openxmlformats.org/officeDocument/2006/relationships/hyperlink" Id="rId14" Target="https://www.unicode.org/L2/L2019/19149-lung-emoji.pdf" TargetMode="External" /><Relationship Type="http://schemas.openxmlformats.org/officeDocument/2006/relationships/hyperlink" Id="rId15" Target="https://www.unicode.org/L2/L2019/19150-heart-emoji.pdf" TargetMode="External" /><Relationship Type="http://schemas.openxmlformats.org/officeDocument/2006/relationships/hyperlink" Id="rId25" Target="https://www.unicode.org/L2/L2026/26008r-esr-report-utc186.pdf" TargetMode="External" /><Relationship Type="http://schemas.openxmlformats.org/officeDocument/2006/relationships/hyperlink" Id="rId22" Target="https://www.unicode.org/emoji/proposals.html" TargetMode="External" /><Relationship Type="http://schemas.openxmlformats.org/officeDocument/2006/relationships/hyperlink" Id="rId24" Target="https://www.unicode.org/faq/emoji_submission.html" TargetMode="External" /><Relationship Type="http://schemas.openxmlformats.org/officeDocument/2006/relationships/hyperlink" Id="rId23" Target="https://www.unicode.org/pending/docsubmit.html" TargetMode="External" /><Relationship Type="http://schemas.openxmlformats.org/officeDocument/2006/relationships/hyperlink" Id="rId28" Target="https://www.unicode.org/reports/tr5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unicode.org/emoji/charts/emoji-list.html" TargetMode="External" /><Relationship Type="http://schemas.openxmlformats.org/officeDocument/2006/relationships/hyperlink" Id="rId26" Target="https://unicode.org/emoji/charts/emoji-ordering.html" TargetMode="External" /><Relationship Type="http://schemas.openxmlformats.org/officeDocument/2006/relationships/hyperlink" Id="rId12" Target="https://www.unicode.org/L2/L2018/18080-accessibility-emoji.pdf" TargetMode="External" /><Relationship Type="http://schemas.openxmlformats.org/officeDocument/2006/relationships/hyperlink" Id="rId14" Target="https://www.unicode.org/L2/L2019/19149-lung-emoji.pdf" TargetMode="External" /><Relationship Type="http://schemas.openxmlformats.org/officeDocument/2006/relationships/hyperlink" Id="rId15" Target="https://www.unicode.org/L2/L2019/19150-heart-emoji.pdf" TargetMode="External" /><Relationship Type="http://schemas.openxmlformats.org/officeDocument/2006/relationships/hyperlink" Id="rId25" Target="https://www.unicode.org/L2/L2026/26008r-esr-report-utc186.pdf" TargetMode="External" /><Relationship Type="http://schemas.openxmlformats.org/officeDocument/2006/relationships/hyperlink" Id="rId22" Target="https://www.unicode.org/emoji/proposals.html" TargetMode="External" /><Relationship Type="http://schemas.openxmlformats.org/officeDocument/2006/relationships/hyperlink" Id="rId24" Target="https://www.unicode.org/faq/emoji_submission.html" TargetMode="External" /><Relationship Type="http://schemas.openxmlformats.org/officeDocument/2006/relationships/hyperlink" Id="rId23" Target="https://www.unicode.org/pending/docsubmit.html" TargetMode="External" /><Relationship Type="http://schemas.openxmlformats.org/officeDocument/2006/relationships/hyperlink" Id="rId28" Target="https://www.unicode.org/reports/tr5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Health-related emoji coverage</dc:title>
  <dc:creator/>
  <dc:subject>UTC discussion document on health-related emoji coverage</dc:subject>
  <cp:keywords/>
  <dcterms:created xsi:type="dcterms:W3CDTF">2026-07-13T15:23:24Z</dcterms:created>
  <dcterms:modified xsi:type="dcterms:W3CDTF">2026-07-13T15:23:24Z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David Rhew; Heena Purohit; Shuhan He</vt:lpwstr>
  </property>
  <property fmtid="{D5CDD505-2E9C-101B-9397-08002B2CF9AE}" pid="3" name="colorlinks">
    <vt:lpwstr>False</vt:lpwstr>
  </property>
  <property fmtid="{D5CDD505-2E9C-101B-9397-08002B2CF9AE}" pid="4" name="date-meta">
    <vt:lpwstr>2026-07-13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header-includes">
    <vt:lpwstr/>
  </property>
  <property fmtid="{D5CDD505-2E9C-101B-9397-08002B2CF9AE}" pid="8" name="mainfont">
    <vt:lpwstr>Georgia</vt:lpwstr>
  </property>
  <property fmtid="{D5CDD505-2E9C-101B-9397-08002B2CF9AE}" pid="9" name="numbersections">
    <vt:lpwstr>True</vt:lpwstr>
  </property>
</Properties>
</file>