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26"/>
        </w:rPr>
        <w:t>Memo: Proposal for ACEP Leadership Support of a Unified Medical Emoji Set</w:t>
      </w:r>
    </w:p>
    <w:tbl>
      <w:tblPr>
        <w:tblW w:type="auto" w:w="0"/>
        <w:tblLayout w:type="fixed"/>
        <w:tblLook w:firstColumn="1" w:firstRow="1" w:lastColumn="0" w:lastRow="0" w:noHBand="0" w:noVBand="1" w:val="04A0"/>
      </w:tblPr>
      <w:tblGrid>
        <w:gridCol w:w="1080"/>
        <w:gridCol w:w="9072"/>
      </w:tblGrid>
      <w:tr>
        <w:tc>
          <w:tcPr>
            <w:tcW w:type="dxa" w:w="1080"/>
            <w:shd w:fill="F2F2F2"/>
          </w:tcPr>
          <w:p>
            <w:pPr>
              <w:spacing w:after="0"/>
            </w:pPr>
            <w:r>
              <w:rPr>
                <w:rFonts w:ascii="Arial" w:hAnsi="Arial"/>
                <w:b/>
                <w:sz w:val="18"/>
              </w:rPr>
              <w:t>To</w:t>
            </w:r>
          </w:p>
        </w:tc>
        <w:tc>
          <w:tcPr>
            <w:tcW w:type="dxa" w:w="9072"/>
          </w:tcPr>
          <w:p>
            <w:pPr>
              <w:spacing w:after="0"/>
            </w:pPr>
            <w:r>
              <w:rPr>
                <w:rFonts w:ascii="Arial" w:hAnsi="Arial"/>
                <w:sz w:val="18"/>
              </w:rPr>
              <w:t>Steven B. Kailes, MD, FACEP</w:t>
            </w:r>
          </w:p>
        </w:tc>
      </w:tr>
      <w:tr>
        <w:tc>
          <w:tcPr>
            <w:tcW w:type="dxa" w:w="1080"/>
            <w:shd w:fill="F2F2F2"/>
          </w:tcPr>
          <w:p>
            <w:pPr>
              <w:spacing w:after="0"/>
            </w:pPr>
            <w:r>
              <w:rPr>
                <w:rFonts w:ascii="Arial" w:hAnsi="Arial"/>
                <w:b/>
                <w:sz w:val="18"/>
              </w:rPr>
              <w:t>From</w:t>
            </w:r>
          </w:p>
        </w:tc>
        <w:tc>
          <w:tcPr>
            <w:tcW w:type="dxa" w:w="9072"/>
          </w:tcPr>
          <w:p>
            <w:pPr>
              <w:spacing w:after="0"/>
            </w:pPr>
            <w:r>
              <w:rPr>
                <w:rFonts w:ascii="Arial" w:hAnsi="Arial"/>
                <w:sz w:val="18"/>
              </w:rPr>
              <w:t>Shuhan He, MD, Chair, ACEP Emergency Medicine Informatics Section</w:t>
            </w:r>
          </w:p>
        </w:tc>
      </w:tr>
      <w:tr>
        <w:tc>
          <w:tcPr>
            <w:tcW w:type="dxa" w:w="1080"/>
            <w:shd w:fill="F2F2F2"/>
          </w:tcPr>
          <w:p>
            <w:pPr>
              <w:spacing w:after="0"/>
            </w:pPr>
            <w:r>
              <w:rPr>
                <w:rFonts w:ascii="Arial" w:hAnsi="Arial"/>
                <w:b/>
                <w:sz w:val="18"/>
              </w:rPr>
              <w:t>Date</w:t>
            </w:r>
          </w:p>
        </w:tc>
        <w:tc>
          <w:tcPr>
            <w:tcW w:type="dxa" w:w="9072"/>
          </w:tcPr>
          <w:p>
            <w:pPr>
              <w:spacing w:after="0"/>
            </w:pPr>
            <w:r>
              <w:rPr>
                <w:rFonts w:ascii="Arial" w:hAnsi="Arial"/>
                <w:sz w:val="18"/>
              </w:rPr>
              <w:t>May 15, 2026</w:t>
            </w:r>
          </w:p>
        </w:tc>
      </w:tr>
      <w:tr>
        <w:tc>
          <w:tcPr>
            <w:tcW w:type="dxa" w:w="1080"/>
            <w:shd w:fill="F2F2F2"/>
          </w:tcPr>
          <w:p>
            <w:pPr>
              <w:spacing w:after="0"/>
            </w:pPr>
            <w:r>
              <w:rPr>
                <w:rFonts w:ascii="Arial" w:hAnsi="Arial"/>
                <w:b/>
                <w:sz w:val="18"/>
              </w:rPr>
              <w:t>Subject</w:t>
            </w:r>
          </w:p>
        </w:tc>
        <w:tc>
          <w:tcPr>
            <w:tcW w:type="dxa" w:w="9072"/>
          </w:tcPr>
          <w:p>
            <w:pPr>
              <w:spacing w:after="0"/>
            </w:pPr>
            <w:r>
              <w:rPr>
                <w:rFonts w:ascii="Arial" w:hAnsi="Arial"/>
                <w:sz w:val="18"/>
              </w:rPr>
              <w:t>Proposal from the ACEP Emergency Medicine Informatics Section for a unified Medical Emoji initiative</w:t>
            </w:r>
          </w:p>
        </w:tc>
      </w:tr>
    </w:tbl>
    <w:p>
      <w:pPr>
        <w:spacing w:before="0" w:after="80" w:line="240" w:lineRule="auto"/>
      </w:pPr>
      <w:r>
        <w:rPr>
          <w:rFonts w:ascii="Arial" w:hAnsi="Arial"/>
          <w:b w:val="0"/>
          <w:i w:val="0"/>
          <w:sz w:val="19"/>
        </w:rPr>
        <w:t>The ACEP Emergency Medicine Informatics Section would like to develop and present a structured Medical Emoji initiative to ACEP leadership. The goal is to support a unified set of clinically useful medical emoji: stomach, spine, liver, kidney, EKG/ECG, and white blood cell.</w:t>
      </w:r>
    </w:p>
    <w:p>
      <w:pPr>
        <w:spacing w:before="0" w:after="80" w:line="240" w:lineRule="auto"/>
      </w:pPr>
      <w:r>
        <w:rPr>
          <w:rFonts w:ascii="Arial" w:hAnsi="Arial"/>
          <w:b w:val="0"/>
          <w:i w:val="0"/>
          <w:sz w:val="19"/>
        </w:rPr>
        <w:t>Emoji are standardized characters governed by Unicode, the international standards body that allows text and symbols to work across platforms. Once Unicode accepts a new emoji and major vendors implement it, that symbol can become available worldwide across phones, computers, messaging systems, patient portals, public-health campaigns, and social media. For medical concepts, this is an informatics and communication issue: accurate, interoperable symbols can support plain-language patient education, telehealth, cross-language communication, and public-health messaging.</w:t>
      </w:r>
    </w:p>
    <w:p>
      <w:pPr>
        <w:spacing w:before="0" w:after="80" w:line="240" w:lineRule="auto"/>
      </w:pPr>
      <w:r>
        <w:rPr>
          <w:rFonts w:ascii="Arial" w:hAnsi="Arial"/>
          <w:b w:val="0"/>
          <w:i w:val="0"/>
          <w:sz w:val="19"/>
        </w:rPr>
        <w:t>There is a successful precedent. The anatomical heart and lungs emoji were approved in 2020 as part of Emoji 13.0 after a medical emoji proposal effort led by Shuhan He, MD, Chair of the ACEP Emergency Medicine Informatics Section. Those approvals were covered by the Boston Globe, later implemented by major vendors including Apple in iOS 14.2, and became part of a broader international story about medical representation in digital language.</w:t>
      </w:r>
    </w:p>
    <w:p>
      <w:pPr>
        <w:spacing w:before="0" w:after="80" w:line="240" w:lineRule="auto"/>
      </w:pPr>
      <w:r>
        <w:rPr>
          <w:rFonts w:ascii="Arial" w:hAnsi="Arial"/>
          <w:b w:val="0"/>
          <w:i w:val="0"/>
          <w:sz w:val="19"/>
        </w:rPr>
        <w:t>The case for a broader medical set has also been published in JAMA. Lai, Lee, and Shuhan He, MD, the ACEP Informatics Section Chair authoring this memo, described medical emoji as a field-level opportunity and specifically identified additional proposed concepts including stomach, spine, liver, kidney, ECG, and white blood cell. A later JAMA research letter comparing an emoji-based visual analog scale with a numeric pain scale supports the broader point that emoji can be evaluated as serious clinical communication tools.</w:t>
      </w:r>
    </w:p>
    <w:p>
      <w:pPr>
        <w:spacing w:before="0" w:after="80" w:line="240" w:lineRule="auto"/>
      </w:pPr>
      <w:r>
        <w:rPr>
          <w:rFonts w:ascii="Arial" w:hAnsi="Arial"/>
          <w:b w:val="0"/>
          <w:i w:val="0"/>
          <w:sz w:val="19"/>
        </w:rPr>
        <w:t>ACEP should be part of this work because emergency medicine depends on fast, clear, patient-facing communication. The proposed set maps directly to common emergency care domains: abdominal pain and vomiting; back pain, trauma, and neurologic symptoms; hepatitis, liver failure, jaundice, and medication toxicity; kidney stones, dehydration, acute kidney injury, dialysis, and medication safety; chest pain, arrhythmia, and cardiac monitoring; infection, inflammation, immunocompromise, sepsis, and laboratory interpretation.</w:t>
      </w:r>
    </w:p>
    <w:p>
      <w:pPr>
        <w:spacing w:before="0" w:after="80" w:line="240" w:lineRule="auto"/>
      </w:pPr>
      <w:r>
        <w:rPr>
          <w:rFonts w:ascii="Arial" w:hAnsi="Arial"/>
          <w:b w:val="0"/>
          <w:i w:val="0"/>
          <w:sz w:val="19"/>
        </w:rPr>
        <w:t>The Medical Emoji campaign already has public support materials, including letters from physician societies and patient organizations. The current site lists 18 support entries or public support materials across the six proposed concepts, including substantial signed society and patient-organization support for kidney, stomach, and liver. ACEP would be joining an existing medical coalition and helping bring emergency medicine leadership to a process that other physician societies have already supported.</w:t>
      </w:r>
    </w:p>
    <w:p>
      <w:pPr>
        <w:spacing w:before="0" w:after="80" w:line="240" w:lineRule="auto"/>
      </w:pPr>
      <w:r>
        <w:rPr>
          <w:rFonts w:ascii="Arial" w:hAnsi="Arial"/>
          <w:b w:val="0"/>
          <w:i w:val="0"/>
          <w:sz w:val="19"/>
        </w:rPr>
        <w:t>We request ACEP leadership's guidance on issuing a clear ACEP support statement for a unified medical emoji set, similar to the support letters already provided by other physician societies and patient organizations. The Informatics Section would prepare the facts, draft language, and submission plan so ACEP can decide exactly what it wants to support. That packet would include:</w:t>
      </w:r>
    </w:p>
    <w:p>
      <w:pPr>
        <w:spacing w:after="40" w:line="240" w:lineRule="auto"/>
        <w:ind w:left="360" w:hanging="360"/>
      </w:pPr>
      <w:r>
        <w:rPr>
          <w:rFonts w:ascii="Arial" w:hAnsi="Arial"/>
          <w:sz w:val="19"/>
        </w:rPr>
        <w:t>1. A short summary of why each proposed emoji matters for emergency care and patient communication.</w:t>
      </w:r>
    </w:p>
    <w:p>
      <w:pPr>
        <w:spacing w:after="40" w:line="240" w:lineRule="auto"/>
        <w:ind w:left="360" w:hanging="360"/>
      </w:pPr>
      <w:r>
        <w:rPr>
          <w:rFonts w:ascii="Arial" w:hAnsi="Arial"/>
          <w:sz w:val="19"/>
        </w:rPr>
        <w:t>2. A recommendation on which concepts are ready to submit first in 2026.</w:t>
      </w:r>
    </w:p>
    <w:p>
      <w:pPr>
        <w:spacing w:after="40" w:line="240" w:lineRule="auto"/>
        <w:ind w:left="360" w:hanging="360"/>
      </w:pPr>
      <w:r>
        <w:rPr>
          <w:rFonts w:ascii="Arial" w:hAnsi="Arial"/>
          <w:sz w:val="19"/>
        </w:rPr>
        <w:t>3. Draft ACEP support-statement language for staff, legal, and leadership review.</w:t>
      </w:r>
    </w:p>
    <w:p>
      <w:pPr>
        <w:spacing w:after="40" w:line="240" w:lineRule="auto"/>
        <w:ind w:left="360" w:hanging="360"/>
      </w:pPr>
      <w:r>
        <w:rPr>
          <w:rFonts w:ascii="Arial" w:hAnsi="Arial"/>
          <w:sz w:val="19"/>
        </w:rPr>
        <w:t>4. A clear explanation that ACEP is supporting a focused, clinically reviewed medical set.</w:t>
      </w:r>
    </w:p>
    <w:p>
      <w:pPr>
        <w:spacing w:before="0" w:after="80" w:line="240" w:lineRule="auto"/>
      </w:pPr>
      <w:r>
        <w:rPr>
          <w:rFonts w:ascii="Arial" w:hAnsi="Arial"/>
          <w:b w:val="0"/>
          <w:i w:val="0"/>
          <w:sz w:val="19"/>
        </w:rPr>
        <w:t>Our working goal is to prepare an August 2026 package for the concepts that are most ready to move forward, while verifying timing because the current Unicode public page lists July 31, 2026 as the active intake deadline. The section would return to ACEP leadership with proposed support-statement language, key findings, coalition partners, and the final requested ACEP action before any formal organizational commitment.</w:t>
      </w:r>
    </w:p>
    <w:p>
      <w:pPr>
        <w:spacing w:before="0" w:after="80" w:line="240" w:lineRule="auto"/>
      </w:pPr>
      <w:r>
        <w:rPr>
          <w:rFonts w:ascii="Arial" w:hAnsi="Arial"/>
          <w:b w:val="0"/>
          <w:i w:val="0"/>
          <w:sz w:val="19"/>
        </w:rPr>
        <w:t>Respectfully,</w:t>
      </w:r>
    </w:p>
    <w:p>
      <w:pPr>
        <w:spacing w:before="0" w:after="80" w:line="240" w:lineRule="auto"/>
      </w:pPr>
      <w:r>
        <w:rPr>
          <w:rFonts w:ascii="Arial" w:hAnsi="Arial"/>
          <w:b w:val="0"/>
          <w:i w:val="0"/>
          <w:sz w:val="19"/>
        </w:rPr>
        <w:t>Shuhan He, MD</w:t>
      </w:r>
    </w:p>
    <w:p>
      <w:pPr>
        <w:spacing w:before="0" w:after="80" w:line="240" w:lineRule="auto"/>
      </w:pPr>
      <w:r>
        <w:rPr>
          <w:rFonts w:ascii="Arial" w:hAnsi="Arial"/>
          <w:b w:val="0"/>
          <w:i w:val="0"/>
          <w:sz w:val="19"/>
        </w:rPr>
        <w:t>Chair, ACEP Emergency Medicine Informatics Section</w:t>
      </w:r>
    </w:p>
    <w:p>
      <w:r>
        <w:br w:type="page"/>
      </w:r>
    </w:p>
    <w:p>
      <w:pPr>
        <w:spacing w:before="0" w:after="140" w:line="240" w:lineRule="auto"/>
        <w:jc w:val="center"/>
      </w:pPr>
      <w:r>
        <w:rPr>
          <w:rFonts w:ascii="Arial" w:hAnsi="Arial"/>
          <w:b/>
          <w:i w:val="0"/>
          <w:sz w:val="26"/>
        </w:rPr>
        <w:t>Citations and Reference Links</w:t>
      </w:r>
    </w:p>
    <w:p>
      <w:pPr>
        <w:spacing w:before="0" w:after="20" w:line="240" w:lineRule="auto"/>
      </w:pPr>
      <w:r>
        <w:rPr>
          <w:rFonts w:ascii="Arial" w:hAnsi="Arial"/>
          <w:b/>
          <w:i w:val="0"/>
          <w:sz w:val="17"/>
        </w:rPr>
        <w:t>Unicode emoji proposal guidelines:</w:t>
      </w:r>
    </w:p>
    <w:p>
      <w:pPr>
        <w:spacing w:after="100"/>
      </w:pPr>
      <w:hyperlink r:id="rId9">
        <w:r>
          <w:rPr>
            <w:color w:val="0563C1"/>
            <w:u w:val="single"/>
            <w:sz w:val="17"/>
          </w:rPr>
          <w:t>https://www.unicode.org/emoji/proposals.html</w:t>
        </w:r>
      </w:hyperlink>
    </w:p>
    <w:p>
      <w:pPr>
        <w:spacing w:before="0" w:after="20" w:line="240" w:lineRule="auto"/>
      </w:pPr>
      <w:r>
        <w:rPr>
          <w:rFonts w:ascii="Arial" w:hAnsi="Arial"/>
          <w:b/>
          <w:i w:val="0"/>
          <w:sz w:val="17"/>
        </w:rPr>
        <w:t>Unicode Emoji Submission FAQ:</w:t>
      </w:r>
    </w:p>
    <w:p>
      <w:pPr>
        <w:spacing w:after="100"/>
      </w:pPr>
      <w:hyperlink r:id="rId10">
        <w:r>
          <w:rPr>
            <w:color w:val="0563C1"/>
            <w:u w:val="single"/>
            <w:sz w:val="17"/>
          </w:rPr>
          <w:t>https://www.unicode.org/faq/emoji_submission.html</w:t>
        </w:r>
      </w:hyperlink>
    </w:p>
    <w:p>
      <w:pPr>
        <w:spacing w:before="0" w:after="20" w:line="240" w:lineRule="auto"/>
      </w:pPr>
      <w:r>
        <w:rPr>
          <w:rFonts w:ascii="Arial" w:hAnsi="Arial"/>
          <w:b/>
          <w:i w:val="0"/>
          <w:sz w:val="17"/>
        </w:rPr>
        <w:t>Unicode Emoji Proposal Agreement and License:</w:t>
      </w:r>
    </w:p>
    <w:p>
      <w:pPr>
        <w:spacing w:after="100"/>
      </w:pPr>
      <w:hyperlink r:id="rId11">
        <w:r>
          <w:rPr>
            <w:color w:val="0563C1"/>
            <w:u w:val="single"/>
            <w:sz w:val="17"/>
          </w:rPr>
          <w:t>https://www.unicode.org/emoji/emoji-proposal-agreement.pdf</w:t>
        </w:r>
      </w:hyperlink>
    </w:p>
    <w:p>
      <w:pPr>
        <w:spacing w:before="0" w:after="20" w:line="240" w:lineRule="auto"/>
      </w:pPr>
      <w:r>
        <w:rPr>
          <w:rFonts w:ascii="Arial" w:hAnsi="Arial"/>
          <w:b/>
          <w:i w:val="0"/>
          <w:sz w:val="17"/>
        </w:rPr>
        <w:t>Boston Globe: This Mass. General doctor helped get two new medical emojis approved:</w:t>
      </w:r>
    </w:p>
    <w:p>
      <w:pPr>
        <w:spacing w:after="100"/>
      </w:pPr>
      <w:hyperlink r:id="rId12">
        <w:r>
          <w:rPr>
            <w:color w:val="0563C1"/>
            <w:u w:val="single"/>
            <w:sz w:val="17"/>
          </w:rPr>
          <w:t>https://www.bostonglobe.com/2020/02/04/metro/this-mass-general-doctor-helped-get-two-new-medical-emojis-approved/</w:t>
        </w:r>
      </w:hyperlink>
    </w:p>
    <w:p>
      <w:pPr>
        <w:spacing w:before="0" w:after="20" w:line="240" w:lineRule="auto"/>
      </w:pPr>
      <w:r>
        <w:rPr>
          <w:rFonts w:ascii="Arial" w:hAnsi="Arial"/>
          <w:b/>
          <w:i w:val="0"/>
          <w:sz w:val="17"/>
        </w:rPr>
        <w:t>Emojipedia: 117 New Emojis In Final List For 2020:</w:t>
      </w:r>
    </w:p>
    <w:p>
      <w:pPr>
        <w:spacing w:after="100"/>
      </w:pPr>
      <w:hyperlink r:id="rId13">
        <w:r>
          <w:rPr>
            <w:color w:val="0563C1"/>
            <w:u w:val="single"/>
            <w:sz w:val="17"/>
          </w:rPr>
          <w:t>https://blog.emojipedia.org/117-new-emojis-in-final-list-for-2020/</w:t>
        </w:r>
      </w:hyperlink>
    </w:p>
    <w:p>
      <w:pPr>
        <w:spacing w:before="0" w:after="20" w:line="240" w:lineRule="auto"/>
      </w:pPr>
      <w:r>
        <w:rPr>
          <w:rFonts w:ascii="Arial" w:hAnsi="Arial"/>
          <w:b/>
          <w:i w:val="0"/>
          <w:sz w:val="17"/>
        </w:rPr>
        <w:t>Emojipedia: iOS 14.2 Emoji Changelog:</w:t>
      </w:r>
    </w:p>
    <w:p>
      <w:pPr>
        <w:spacing w:after="100"/>
      </w:pPr>
      <w:hyperlink r:id="rId14">
        <w:r>
          <w:rPr>
            <w:color w:val="0563C1"/>
            <w:u w:val="single"/>
            <w:sz w:val="17"/>
          </w:rPr>
          <w:t>https://blog.emojipedia.org/ios-14-2-emoji-changelog/</w:t>
        </w:r>
      </w:hyperlink>
    </w:p>
    <w:p>
      <w:pPr>
        <w:spacing w:before="0" w:after="20" w:line="240" w:lineRule="auto"/>
      </w:pPr>
      <w:r>
        <w:rPr>
          <w:rFonts w:ascii="Arial" w:hAnsi="Arial"/>
          <w:b/>
          <w:i w:val="0"/>
          <w:sz w:val="17"/>
        </w:rPr>
        <w:t>The Verge: A doctor's quest for more organ emoji:</w:t>
      </w:r>
    </w:p>
    <w:p>
      <w:pPr>
        <w:spacing w:after="100"/>
      </w:pPr>
      <w:hyperlink r:id="rId15">
        <w:r>
          <w:rPr>
            <w:color w:val="0563C1"/>
            <w:u w:val="single"/>
            <w:sz w:val="17"/>
          </w:rPr>
          <w:t>https://www.theverge.com/2021/9/13/22665002/doctors-medical-emoji-organs-health</w:t>
        </w:r>
      </w:hyperlink>
    </w:p>
    <w:p>
      <w:pPr>
        <w:spacing w:before="0" w:after="20" w:line="240" w:lineRule="auto"/>
      </w:pPr>
      <w:r>
        <w:rPr>
          <w:rFonts w:ascii="Arial" w:hAnsi="Arial"/>
          <w:b w:val="0"/>
          <w:i w:val="0"/>
          <w:sz w:val="17"/>
        </w:rPr>
        <w:t>Lai D, Lee J, He S. Emoji for the Medical Community-Challenges and Opportunities. JAMA. 2021;326(9):795-796. doi:10.1001/jama.2021.8409</w:t>
      </w:r>
    </w:p>
    <w:p>
      <w:pPr>
        <w:spacing w:after="100"/>
      </w:pPr>
      <w:hyperlink r:id="rId16">
        <w:r>
          <w:rPr>
            <w:color w:val="0563C1"/>
            <w:u w:val="single"/>
            <w:sz w:val="17"/>
          </w:rPr>
          <w:t>https://jamanetwork.com/journals/jama/fullarticle/2783847</w:t>
        </w:r>
      </w:hyperlink>
    </w:p>
    <w:p>
      <w:pPr>
        <w:spacing w:before="0" w:after="20" w:line="240" w:lineRule="auto"/>
      </w:pPr>
      <w:r>
        <w:rPr>
          <w:rFonts w:ascii="Arial" w:hAnsi="Arial"/>
          <w:b w:val="0"/>
          <w:i w:val="0"/>
          <w:sz w:val="17"/>
        </w:rPr>
        <w:t>He S, Renne A, Argandykov D, Convissar D, Lee J. Comparison of an Emoji-Based Visual Analog Scale With a Numeric Rating Scale for Pain Assessment. JAMA. 2022;328(2):208-209. doi:10.1001/jama.2022.7489</w:t>
      </w:r>
    </w:p>
    <w:p>
      <w:pPr>
        <w:spacing w:after="100"/>
      </w:pPr>
      <w:hyperlink r:id="rId17">
        <w:r>
          <w:rPr>
            <w:color w:val="0563C1"/>
            <w:u w:val="single"/>
            <w:sz w:val="17"/>
          </w:rPr>
          <w:t>https://jamanetwork.com/journals/jama/fullarticle/2794067</w:t>
        </w:r>
      </w:hyperlink>
    </w:p>
    <w:p>
      <w:pPr>
        <w:spacing w:before="0" w:after="20" w:line="240" w:lineRule="auto"/>
      </w:pPr>
      <w:r>
        <w:rPr>
          <w:rFonts w:ascii="Arial" w:hAnsi="Arial"/>
          <w:b/>
          <w:i w:val="0"/>
          <w:sz w:val="17"/>
        </w:rPr>
        <w:t>Medical Emoji campaign:</w:t>
      </w:r>
    </w:p>
    <w:p>
      <w:pPr>
        <w:spacing w:after="100"/>
      </w:pPr>
      <w:hyperlink r:id="rId18">
        <w:r>
          <w:rPr>
            <w:color w:val="0563C1"/>
            <w:u w:val="single"/>
            <w:sz w:val="17"/>
          </w:rPr>
          <w:t>https://medicalemoji.org/</w:t>
        </w:r>
      </w:hyperlink>
    </w:p>
    <w:p>
      <w:pPr>
        <w:spacing w:before="0" w:after="20" w:line="240" w:lineRule="auto"/>
      </w:pPr>
      <w:r>
        <w:rPr>
          <w:rFonts w:ascii="Arial" w:hAnsi="Arial"/>
          <w:b/>
          <w:i w:val="0"/>
          <w:sz w:val="17"/>
        </w:rPr>
        <w:t>Medical Emoji kidney proposal supporters:</w:t>
      </w:r>
    </w:p>
    <w:p>
      <w:pPr>
        <w:spacing w:after="100"/>
      </w:pPr>
      <w:hyperlink r:id="rId19">
        <w:r>
          <w:rPr>
            <w:color w:val="0563C1"/>
            <w:u w:val="single"/>
            <w:sz w:val="17"/>
          </w:rPr>
          <w:t>https://medicalemoji.org/emoji/kidney</w:t>
        </w:r>
      </w:hyperlink>
    </w:p>
    <w:p>
      <w:pPr>
        <w:spacing w:before="0" w:after="20" w:line="240" w:lineRule="auto"/>
      </w:pPr>
      <w:r>
        <w:rPr>
          <w:rFonts w:ascii="Arial" w:hAnsi="Arial"/>
          <w:b/>
          <w:i w:val="0"/>
          <w:sz w:val="17"/>
        </w:rPr>
        <w:t>Medical Emoji stomach proposal supporters:</w:t>
      </w:r>
    </w:p>
    <w:p>
      <w:pPr>
        <w:spacing w:after="100"/>
      </w:pPr>
      <w:hyperlink r:id="rId20">
        <w:r>
          <w:rPr>
            <w:color w:val="0563C1"/>
            <w:u w:val="single"/>
            <w:sz w:val="17"/>
          </w:rPr>
          <w:t>https://medicalemoji.org/emoji/stomach</w:t>
        </w:r>
      </w:hyperlink>
    </w:p>
    <w:p>
      <w:pPr>
        <w:spacing w:before="0" w:after="20" w:line="240" w:lineRule="auto"/>
      </w:pPr>
      <w:r>
        <w:rPr>
          <w:rFonts w:ascii="Arial" w:hAnsi="Arial"/>
          <w:b/>
          <w:i w:val="0"/>
          <w:sz w:val="17"/>
        </w:rPr>
        <w:t>Medical Emoji liver proposal supporters:</w:t>
      </w:r>
    </w:p>
    <w:p>
      <w:pPr>
        <w:spacing w:after="100"/>
      </w:pPr>
      <w:hyperlink r:id="rId21">
        <w:r>
          <w:rPr>
            <w:color w:val="0563C1"/>
            <w:u w:val="single"/>
            <w:sz w:val="17"/>
          </w:rPr>
          <w:t>https://medicalemoji.org/emoji/liver</w:t>
        </w:r>
      </w:hyperlink>
    </w:p>
    <w:p>
      <w:pPr>
        <w:spacing w:before="0" w:after="20" w:line="240" w:lineRule="auto"/>
      </w:pPr>
      <w:r>
        <w:rPr>
          <w:rFonts w:ascii="Arial" w:hAnsi="Arial"/>
          <w:b/>
          <w:i w:val="0"/>
          <w:sz w:val="17"/>
        </w:rPr>
        <w:t>Medical Emoji spine proposal support material:</w:t>
      </w:r>
    </w:p>
    <w:p>
      <w:pPr>
        <w:spacing w:after="100"/>
      </w:pPr>
      <w:hyperlink r:id="rId22">
        <w:r>
          <w:rPr>
            <w:color w:val="0563C1"/>
            <w:u w:val="single"/>
            <w:sz w:val="17"/>
          </w:rPr>
          <w:t>https://medicalemoji.org/emoji/spine</w:t>
        </w:r>
      </w:hyperlink>
    </w:p>
    <w:p>
      <w:pPr>
        <w:spacing w:before="0" w:after="20" w:line="240" w:lineRule="auto"/>
      </w:pPr>
      <w:r>
        <w:rPr>
          <w:rFonts w:ascii="Arial" w:hAnsi="Arial"/>
          <w:b/>
          <w:i w:val="0"/>
          <w:sz w:val="17"/>
        </w:rPr>
        <w:t>Medical Emoji EKG candidate:</w:t>
      </w:r>
    </w:p>
    <w:p>
      <w:pPr>
        <w:spacing w:after="100"/>
      </w:pPr>
      <w:hyperlink r:id="rId23">
        <w:r>
          <w:rPr>
            <w:color w:val="0563C1"/>
            <w:u w:val="single"/>
            <w:sz w:val="17"/>
          </w:rPr>
          <w:t>https://medicalemoji.org/emoji/ekg</w:t>
        </w:r>
      </w:hyperlink>
    </w:p>
    <w:p>
      <w:pPr>
        <w:spacing w:before="0" w:after="20" w:line="240" w:lineRule="auto"/>
      </w:pPr>
      <w:r>
        <w:rPr>
          <w:rFonts w:ascii="Arial" w:hAnsi="Arial"/>
          <w:b/>
          <w:i w:val="0"/>
          <w:sz w:val="17"/>
        </w:rPr>
        <w:t>Medical Emoji white blood cell candidate:</w:t>
      </w:r>
    </w:p>
    <w:p>
      <w:pPr>
        <w:spacing w:after="100"/>
      </w:pPr>
      <w:hyperlink r:id="rId24">
        <w:r>
          <w:rPr>
            <w:color w:val="0563C1"/>
            <w:u w:val="single"/>
            <w:sz w:val="17"/>
          </w:rPr>
          <w:t>https://medicalemoji.org/emoji/wbc</w:t>
        </w:r>
      </w:hyperlink>
    </w:p>
    <w:sectPr w:rsidR="00FC693F" w:rsidRPr="0006063C" w:rsidSect="00034616">
      <w:footerReference w:type="default" r:id="rId25"/>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ACEP Medical Emoji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nicode.org/emoji/proposals.html" TargetMode="External"/><Relationship Id="rId10" Type="http://schemas.openxmlformats.org/officeDocument/2006/relationships/hyperlink" Target="https://www.unicode.org/faq/emoji_submission.html" TargetMode="External"/><Relationship Id="rId11" Type="http://schemas.openxmlformats.org/officeDocument/2006/relationships/hyperlink" Target="https://www.unicode.org/emoji/emoji-proposal-agreement.pdf" TargetMode="External"/><Relationship Id="rId12" Type="http://schemas.openxmlformats.org/officeDocument/2006/relationships/hyperlink" Target="https://www.bostonglobe.com/2020/02/04/metro/this-mass-general-doctor-helped-get-two-new-medical-emojis-approved/" TargetMode="External"/><Relationship Id="rId13" Type="http://schemas.openxmlformats.org/officeDocument/2006/relationships/hyperlink" Target="https://blog.emojipedia.org/117-new-emojis-in-final-list-for-2020/" TargetMode="External"/><Relationship Id="rId14" Type="http://schemas.openxmlformats.org/officeDocument/2006/relationships/hyperlink" Target="https://blog.emojipedia.org/ios-14-2-emoji-changelog/" TargetMode="External"/><Relationship Id="rId15" Type="http://schemas.openxmlformats.org/officeDocument/2006/relationships/hyperlink" Target="https://www.theverge.com/2021/9/13/22665002/doctors-medical-emoji-organs-health" TargetMode="External"/><Relationship Id="rId16" Type="http://schemas.openxmlformats.org/officeDocument/2006/relationships/hyperlink" Target="https://jamanetwork.com/journals/jama/fullarticle/2783847" TargetMode="External"/><Relationship Id="rId17" Type="http://schemas.openxmlformats.org/officeDocument/2006/relationships/hyperlink" Target="https://jamanetwork.com/journals/jama/fullarticle/2794067" TargetMode="External"/><Relationship Id="rId18" Type="http://schemas.openxmlformats.org/officeDocument/2006/relationships/hyperlink" Target="https://medicalemoji.org/" TargetMode="External"/><Relationship Id="rId19" Type="http://schemas.openxmlformats.org/officeDocument/2006/relationships/hyperlink" Target="https://medicalemoji.org/emoji/kidney" TargetMode="External"/><Relationship Id="rId20" Type="http://schemas.openxmlformats.org/officeDocument/2006/relationships/hyperlink" Target="https://medicalemoji.org/emoji/stomach" TargetMode="External"/><Relationship Id="rId21" Type="http://schemas.openxmlformats.org/officeDocument/2006/relationships/hyperlink" Target="https://medicalemoji.org/emoji/liver" TargetMode="External"/><Relationship Id="rId22" Type="http://schemas.openxmlformats.org/officeDocument/2006/relationships/hyperlink" Target="https://medicalemoji.org/emoji/spine" TargetMode="External"/><Relationship Id="rId23" Type="http://schemas.openxmlformats.org/officeDocument/2006/relationships/hyperlink" Target="https://medicalemoji.org/emoji/ekg" TargetMode="External"/><Relationship Id="rId24" Type="http://schemas.openxmlformats.org/officeDocument/2006/relationships/hyperlink" Target="https://medicalemoji.org/emoji/wbc"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