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Medical Emoji Project: Microsoft Review and Standards-Sponsorship Request</w:t>
      </w:r>
    </w:p>
    <w:p>
      <w:pPr>
        <w:pStyle w:val="Subtitle"/>
      </w:pPr>
      <w:r>
        <w:t xml:space="preserve">Executive memo for David Rhew, Microsoft medical leadership, and Vishal Chowdhary</w:t>
      </w:r>
    </w:p>
    <w:p>
      <w:pPr>
        <w:pStyle w:val="Author"/>
      </w:pPr>
      <w:r>
        <w:t xml:space="preserve">Prepared by Shuhan He, MD</w:t>
      </w:r>
    </w:p>
    <w:p>
      <w:pPr>
        <w:pStyle w:val="Date"/>
      </w:pPr>
      <w:r>
        <w:t xml:space="preserve">July 13, 2026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Request a focused Microsoft decision on whether to sponsor a comprehensive, bounded medical-emoji</w:t>
      </w:r>
      <w:r>
        <w:t xml:space="preserve"> </w:t>
      </w:r>
      <w:r>
        <w:t xml:space="preserve">coverage review and to route the accompanying individual proposals to the appropriate Unicode working group.</w:t>
      </w:r>
    </w:p>
    <w:bookmarkStart w:id="9" w:name="executive-request"/>
    <w:p>
      <w:pPr>
        <w:pStyle w:val="Heading2"/>
      </w:pPr>
      <w:r>
        <w:t xml:space="preserve">Executive request</w:t>
      </w:r>
    </w:p>
    <w:p>
      <w:pPr>
        <w:pStyle w:val="FirstParagraph"/>
      </w:pPr>
      <w:r>
        <w:t xml:space="preserve">The Medical Emoji Project asks Microsoft to consider a standards-facing medical-emoji program modeled on the</w:t>
      </w:r>
      <w:r>
        <w:t xml:space="preserve"> </w:t>
      </w:r>
      <w:r>
        <w:t xml:space="preserve">logic of Apple's 2018 accessibility submission: identify a meaningful coverage gap, define a bounded initial</w:t>
      </w:r>
      <w:r>
        <w:t xml:space="preserve"> </w:t>
      </w:r>
      <w:r>
        <w:t xml:space="preserve">program, and submit individual concepts through Unicode's normal review process.</w:t>
      </w:r>
    </w:p>
    <w:p>
      <w:pPr>
        <w:pStyle w:val="BodyText"/>
      </w:pPr>
      <w:r>
        <w:t xml:space="preserve">We are not asking Microsoft to guarantee encoding, request preferential treatment, or endorse an unlimited list</w:t>
      </w:r>
      <w:r>
        <w:t xml:space="preserve"> </w:t>
      </w:r>
      <w:r>
        <w:t xml:space="preserve">of organs and medical devices. We are asking Microsoft to:</w:t>
      </w:r>
    </w:p>
    <w:p>
      <w:pPr>
        <w:pStyle w:val="Compact"/>
        <w:numPr>
          <w:ilvl w:val="0"/>
          <w:numId w:val="1001"/>
        </w:numPr>
      </w:pPr>
      <w:r>
        <w:t xml:space="preserve">identify the appropriate Unicode standards owner and product/design owner;</w:t>
      </w:r>
    </w:p>
    <w:p>
      <w:pPr>
        <w:pStyle w:val="Compact"/>
        <w:numPr>
          <w:ilvl w:val="0"/>
          <w:numId w:val="1001"/>
        </w:numPr>
      </w:pPr>
      <w:r>
        <w:t xml:space="preserve">review the project's medical-emoji coverage analysis and individual proposal packets;</w:t>
      </w:r>
    </w:p>
    <w:p>
      <w:pPr>
        <w:pStyle w:val="Compact"/>
        <w:numPr>
          <w:ilvl w:val="0"/>
          <w:numId w:val="1001"/>
        </w:numPr>
      </w:pPr>
      <w:r>
        <w:t xml:space="preserve">decide whether Microsoft is willing to sponsor a short UTC/L2 discussion document; and</w:t>
      </w:r>
    </w:p>
    <w:p>
      <w:pPr>
        <w:pStyle w:val="Compact"/>
        <w:numPr>
          <w:ilvl w:val="0"/>
          <w:numId w:val="1001"/>
        </w:numPr>
      </w:pPr>
      <w:r>
        <w:t xml:space="preserve">if so, ask the responsible Unicode working group to review the materials seriously on their technical merits.</w:t>
      </w:r>
    </w:p>
    <w:p>
      <w:pPr>
        <w:pStyle w:val="FirstParagraph"/>
      </w:pPr>
      <w:r>
        <w:t xml:space="preserve">The proposed program covers two related but distinct questions: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Which important medical concepts are currently absent or scattered across unrelated emoji</w:t>
      </w:r>
      <w:r>
        <w:t xml:space="preserve"> </w:t>
      </w:r>
      <w:r>
        <w:t xml:space="preserve">categories?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Encoding:</w:t>
      </w:r>
      <w:r>
        <w:t xml:space="preserve"> </w:t>
      </w:r>
      <w:r>
        <w:t xml:space="preserve">Which individual concepts meet Unicode's evidence, distinctiveness, and expected-usage factors?</w:t>
      </w:r>
    </w:p>
    <w:p>
      <w:pPr>
        <w:pStyle w:val="FirstParagraph"/>
      </w:pPr>
      <w:r>
        <w:t xml:space="preserve">The L2 document should address coverage and process. Each emoji must still be submitted and evaluated separately.</w:t>
      </w:r>
    </w:p>
    <w:bookmarkEnd w:id="9"/>
    <w:bookmarkStart w:id="10" w:name="concrete-l2-request"/>
    <w:p>
      <w:pPr>
        <w:pStyle w:val="Heading2"/>
      </w:pPr>
      <w:r>
        <w:t xml:space="preserve">Concrete L2 request</w:t>
      </w:r>
    </w:p>
    <w:p>
      <w:pPr>
        <w:pStyle w:val="FirstParagraph"/>
      </w:pPr>
      <w:r>
        <w:t xml:space="preserve">The document should ask the Unicode Technical Committee to:</w:t>
      </w:r>
    </w:p>
    <w:p>
      <w:pPr>
        <w:pStyle w:val="Compact"/>
        <w:numPr>
          <w:ilvl w:val="0"/>
          <w:numId w:val="1003"/>
        </w:numPr>
      </w:pPr>
      <w:r>
        <w:t xml:space="preserve">Recognize health-related emoji coverage as a coherent standards-maintenance issue.</w:t>
      </w:r>
    </w:p>
    <w:p>
      <w:pPr>
        <w:pStyle w:val="Compact"/>
        <w:numPr>
          <w:ilvl w:val="0"/>
          <w:numId w:val="1003"/>
        </w:numPr>
      </w:pPr>
      <w:r>
        <w:t xml:space="preserve">Review how anatomy, diagnostics, laboratory medicine, medication, emergency care, and clinical equipment are</w:t>
      </w:r>
      <w:r>
        <w:t xml:space="preserve"> </w:t>
      </w:r>
      <w:r>
        <w:t xml:space="preserve">organized.</w:t>
      </w:r>
    </w:p>
    <w:p>
      <w:pPr>
        <w:pStyle w:val="Compact"/>
        <w:numPr>
          <w:ilvl w:val="0"/>
          <w:numId w:val="1003"/>
        </w:numPr>
      </w:pPr>
      <w:r>
        <w:t xml:space="preserve">Establish criteria for prioritizing missing concepts.</w:t>
      </w:r>
    </w:p>
    <w:p>
      <w:pPr>
        <w:pStyle w:val="Compact"/>
        <w:numPr>
          <w:ilvl w:val="0"/>
          <w:numId w:val="1003"/>
        </w:numPr>
      </w:pPr>
      <w:r>
        <w:t xml:space="preserve">Refer individual concepts to the normal Emoji proposal process.</w:t>
      </w:r>
    </w:p>
    <w:p>
      <w:pPr>
        <w:pStyle w:val="Compact"/>
        <w:numPr>
          <w:ilvl w:val="0"/>
          <w:numId w:val="1003"/>
        </w:numPr>
      </w:pPr>
      <w:r>
        <w:t xml:space="preserve">Clarify how vendors can provide design, accessibility, and anticipated-implementation support.</w:t>
      </w:r>
    </w:p>
    <w:bookmarkEnd w:id="10"/>
    <w:bookmarkStart w:id="13" w:name="what-is-being-submitted"/>
    <w:p>
      <w:pPr>
        <w:pStyle w:val="Heading2"/>
      </w:pPr>
      <w:r>
        <w:t xml:space="preserve">What is being submitted</w:t>
      </w:r>
    </w:p>
    <w:p>
      <w:pPr>
        <w:pStyle w:val="FirstParagraph"/>
      </w:pPr>
      <w:r>
        <w:t xml:space="preserve">The project plans a comprehensive medical-emoji program with the following coverage areas:</w:t>
      </w:r>
    </w:p>
    <w:bookmarkStart w:id="11" w:name="core-medical-coverage-gaps"/>
    <w:p>
      <w:pPr>
        <w:pStyle w:val="Heading3"/>
      </w:pPr>
      <w:r>
        <w:t xml:space="preserve">Core medical coverage gaps</w:t>
      </w:r>
    </w:p>
    <w:p>
      <w:pPr>
        <w:pStyle w:val="Compact"/>
        <w:numPr>
          <w:ilvl w:val="0"/>
          <w:numId w:val="1004"/>
        </w:numPr>
      </w:pPr>
      <w:r>
        <w:t xml:space="preserve">Basic anatomy: kidney, liver, stomach, intestines, and related internal organs.</w:t>
      </w:r>
    </w:p>
    <w:p>
      <w:pPr>
        <w:pStyle w:val="Compact"/>
        <w:numPr>
          <w:ilvl w:val="0"/>
          <w:numId w:val="1004"/>
        </w:numPr>
      </w:pPr>
      <w:r>
        <w:t xml:space="preserve">Diagnostic monitoring: EKG/ECG.</w:t>
      </w:r>
    </w:p>
    <w:p>
      <w:pPr>
        <w:pStyle w:val="Compact"/>
        <w:numPr>
          <w:ilvl w:val="0"/>
          <w:numId w:val="1004"/>
        </w:numPr>
      </w:pPr>
      <w:r>
        <w:t xml:space="preserve">Laboratory medicine: white blood cell.</w:t>
      </w:r>
    </w:p>
    <w:p>
      <w:pPr>
        <w:pStyle w:val="Compact"/>
        <w:numPr>
          <w:ilvl w:val="0"/>
          <w:numId w:val="1004"/>
        </w:numPr>
      </w:pPr>
      <w:r>
        <w:t xml:space="preserve">Existing anatomical heart, lungs, and brain as part of the broader organization and coverage review.</w:t>
      </w:r>
    </w:p>
    <w:bookmarkEnd w:id="11"/>
    <w:bookmarkStart w:id="12" w:name="practical-medical-concepts"/>
    <w:p>
      <w:pPr>
        <w:pStyle w:val="Heading3"/>
      </w:pPr>
      <w:r>
        <w:t xml:space="preserve">Practical medical concepts</w:t>
      </w:r>
    </w:p>
    <w:p>
      <w:pPr>
        <w:pStyle w:val="Compact"/>
        <w:numPr>
          <w:ilvl w:val="0"/>
          <w:numId w:val="1005"/>
        </w:numPr>
      </w:pPr>
      <w:r>
        <w:t xml:space="preserve">Medication management: Pill Box and Inhaler.</w:t>
      </w:r>
    </w:p>
    <w:p>
      <w:pPr>
        <w:pStyle w:val="Compact"/>
        <w:numPr>
          <w:ilvl w:val="0"/>
          <w:numId w:val="1005"/>
        </w:numPr>
      </w:pPr>
      <w:r>
        <w:t xml:space="preserve">Blood care: Blood Bag and IV Bag.</w:t>
      </w:r>
    </w:p>
    <w:p>
      <w:pPr>
        <w:pStyle w:val="Compact"/>
        <w:numPr>
          <w:ilvl w:val="0"/>
          <w:numId w:val="1005"/>
        </w:numPr>
      </w:pPr>
      <w:r>
        <w:t xml:space="preserve">Emergency and routine care: First Aid Kit and Leg Cast.</w:t>
      </w:r>
    </w:p>
    <w:p>
      <w:pPr>
        <w:pStyle w:val="Compact"/>
        <w:numPr>
          <w:ilvl w:val="0"/>
          <w:numId w:val="1005"/>
        </w:numPr>
      </w:pPr>
      <w:r>
        <w:t xml:space="preserve">Clinical equipment and measurement: Weight Scale and other clearly supportable medical objects.</w:t>
      </w:r>
    </w:p>
    <w:p>
      <w:pPr>
        <w:pStyle w:val="FirstParagraph"/>
      </w:pPr>
      <w:r>
        <w:t xml:space="preserve">The immediate individual-proposal focus should be Pill Box as the leading practical concept and Blood Bag as the</w:t>
      </w:r>
      <w:r>
        <w:t xml:space="preserve"> </w:t>
      </w:r>
      <w:r>
        <w:t xml:space="preserve">strongest fallback. The anatomy, EKG, and white-blood-cell concepts belong in the comprehensive coverage case,</w:t>
      </w:r>
      <w:r>
        <w:t xml:space="preserve"> </w:t>
      </w:r>
      <w:r>
        <w:t xml:space="preserve">with individual packets advanced according to evidence and Unicode's procedural review.</w:t>
      </w:r>
    </w:p>
    <w:bookmarkEnd w:id="12"/>
    <w:bookmarkEnd w:id="13"/>
    <w:bookmarkStart w:id="14" w:name="why-this-project-is-legitimate"/>
    <w:p>
      <w:pPr>
        <w:pStyle w:val="Heading2"/>
      </w:pPr>
      <w:r>
        <w:t xml:space="preserve">Why this project is legitimate</w:t>
      </w:r>
    </w:p>
    <w:p>
      <w:pPr>
        <w:pStyle w:val="FirstParagraph"/>
      </w:pPr>
      <w:r>
        <w:t xml:space="preserve">The project is not a petition or a social-media campaign. It is a documented Unicode proposal effort led by an</w:t>
      </w:r>
      <w:r>
        <w:t xml:space="preserve"> </w:t>
      </w:r>
      <w:r>
        <w:t xml:space="preserve">individual physician, supported by original artwork, public frequency research, prior proposal history, and</w:t>
      </w:r>
      <w:r>
        <w:t xml:space="preserve"> </w:t>
      </w:r>
      <w:r>
        <w:t xml:space="preserve">professional coalition materials.</w:t>
      </w:r>
    </w:p>
    <w:p>
      <w:pPr>
        <w:pStyle w:val="BodyText"/>
      </w:pPr>
      <w:r>
        <w:t xml:space="preserve">The project has four sources of legitimacy: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Historical participation.</w:t>
      </w:r>
      <w:r>
        <w:t xml:space="preserve"> </w:t>
      </w:r>
      <w:r>
        <w:t xml:space="preserve">The project previously participated in successful Unicode emoji work for</w:t>
      </w:r>
      <w:r>
        <w:t xml:space="preserve"> </w:t>
      </w:r>
      <w:r>
        <w:t xml:space="preserve">anatomical heart and lungs. Those characters entered the standard through formal Unicode review, not through</w:t>
      </w:r>
      <w:r>
        <w:t xml:space="preserve"> </w:t>
      </w:r>
      <w:r>
        <w:t xml:space="preserve">a petition or a corporate branding campaign.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Current-format preparation.</w:t>
      </w:r>
      <w:r>
        <w:t xml:space="preserve"> </w:t>
      </w:r>
      <w:r>
        <w:t xml:space="preserve">The new packets follow Unicode's current proposal structure: identification,</w:t>
      </w:r>
      <w:r>
        <w:t xml:space="preserve"> </w:t>
      </w:r>
      <w:r>
        <w:t xml:space="preserve">color and black-and-white artwork, image-rights certification, inclusion and exclusion factors, sequences,</w:t>
      </w:r>
      <w:r>
        <w:t xml:space="preserve"> </w:t>
      </w:r>
      <w:r>
        <w:t xml:space="preserve">expected-usage evidence, and reproducible source records.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Professional coalition support.</w:t>
      </w:r>
      <w:r>
        <w:t xml:space="preserve"> </w:t>
      </w:r>
      <w:r>
        <w:t xml:space="preserve">Medical and patient organizations have supplied letters supporting</w:t>
      </w:r>
      <w:r>
        <w:t xml:space="preserve"> </w:t>
      </w:r>
      <w:r>
        <w:t xml:space="preserve">specific organ and health concepts. These materials demonstrate clinical relevance and coalition legitimacy;</w:t>
      </w:r>
      <w:r>
        <w:t xml:space="preserve"> </w:t>
      </w:r>
      <w:r>
        <w:t xml:space="preserve">they are not presented as substitutes for Unicode's required frequency evidence.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Vendor feasibility.</w:t>
      </w:r>
      <w:r>
        <w:t xml:space="preserve"> </w:t>
      </w:r>
      <w:r>
        <w:t xml:space="preserve">Microsoft can evaluate whether the proposed paradigms are recognizable at small</w:t>
      </w:r>
      <w:r>
        <w:t xml:space="preserve"> </w:t>
      </w:r>
      <w:r>
        <w:t xml:space="preserve">sizes, accessible, compatible with Segoe UI Emoji, and supportable through ordinary product and legal review.</w:t>
      </w:r>
    </w:p>
    <w:bookmarkEnd w:id="14"/>
    <w:bookmarkStart w:id="15" w:name="professional-and-society-support"/>
    <w:p>
      <w:pPr>
        <w:pStyle w:val="Heading2"/>
      </w:pPr>
      <w:r>
        <w:t xml:space="preserve">Professional and society support</w:t>
      </w:r>
    </w:p>
    <w:p>
      <w:pPr>
        <w:pStyle w:val="FirstParagraph"/>
      </w:pPr>
      <w:r>
        <w:t xml:space="preserve">The documented coalition includes organizations from nephrology, gastroenterology, emergency medicine, patient</w:t>
      </w:r>
      <w:r>
        <w:t xml:space="preserve"> </w:t>
      </w:r>
      <w:r>
        <w:t xml:space="preserve">advocacy, and international kidney care. The support inventory includes:</w:t>
      </w:r>
    </w:p>
    <w:p>
      <w:pPr>
        <w:pStyle w:val="Compact"/>
        <w:numPr>
          <w:ilvl w:val="0"/>
          <w:numId w:val="1007"/>
        </w:numPr>
      </w:pPr>
      <w:r>
        <w:t xml:space="preserve">American Association of Kidney Patients.</w:t>
      </w:r>
    </w:p>
    <w:p>
      <w:pPr>
        <w:pStyle w:val="Compact"/>
        <w:numPr>
          <w:ilvl w:val="0"/>
          <w:numId w:val="1007"/>
        </w:numPr>
      </w:pPr>
      <w:r>
        <w:t xml:space="preserve">American Society of Nephrology.</w:t>
      </w:r>
    </w:p>
    <w:p>
      <w:pPr>
        <w:pStyle w:val="Compact"/>
        <w:numPr>
          <w:ilvl w:val="0"/>
          <w:numId w:val="1007"/>
        </w:numPr>
      </w:pPr>
      <w:r>
        <w:t xml:space="preserve">American Society of Diagnostic and Interventional Nephrology.</w:t>
      </w:r>
    </w:p>
    <w:p>
      <w:pPr>
        <w:pStyle w:val="Compact"/>
        <w:numPr>
          <w:ilvl w:val="0"/>
          <w:numId w:val="1007"/>
        </w:numPr>
      </w:pPr>
      <w:r>
        <w:t xml:space="preserve">Canadian Society of Nephrology.</w:t>
      </w:r>
    </w:p>
    <w:p>
      <w:pPr>
        <w:pStyle w:val="Compact"/>
        <w:numPr>
          <w:ilvl w:val="0"/>
          <w:numId w:val="1007"/>
        </w:numPr>
      </w:pPr>
      <w:r>
        <w:t xml:space="preserve">International Society of Nephrology.</w:t>
      </w:r>
    </w:p>
    <w:p>
      <w:pPr>
        <w:pStyle w:val="Compact"/>
        <w:numPr>
          <w:ilvl w:val="0"/>
          <w:numId w:val="1007"/>
        </w:numPr>
      </w:pPr>
      <w:r>
        <w:t xml:space="preserve">Kidney Disease: Improving Global Outcomes.</w:t>
      </w:r>
    </w:p>
    <w:p>
      <w:pPr>
        <w:pStyle w:val="Compact"/>
        <w:numPr>
          <w:ilvl w:val="0"/>
          <w:numId w:val="1007"/>
        </w:numPr>
      </w:pPr>
      <w:r>
        <w:t xml:space="preserve">National Kidney Foundation.</w:t>
      </w:r>
    </w:p>
    <w:p>
      <w:pPr>
        <w:pStyle w:val="Compact"/>
        <w:numPr>
          <w:ilvl w:val="0"/>
          <w:numId w:val="1007"/>
        </w:numPr>
      </w:pPr>
      <w:r>
        <w:t xml:space="preserve">Renal Physicians Association.</w:t>
      </w:r>
    </w:p>
    <w:p>
      <w:pPr>
        <w:pStyle w:val="Compact"/>
        <w:numPr>
          <w:ilvl w:val="0"/>
          <w:numId w:val="1007"/>
        </w:numPr>
      </w:pPr>
      <w:r>
        <w:t xml:space="preserve">Kidney Foundation of Western New York.</w:t>
      </w:r>
    </w:p>
    <w:p>
      <w:pPr>
        <w:pStyle w:val="Compact"/>
        <w:numPr>
          <w:ilvl w:val="0"/>
          <w:numId w:val="1007"/>
        </w:numPr>
      </w:pPr>
      <w:r>
        <w:t xml:space="preserve">Women Nephrology India.</w:t>
      </w:r>
    </w:p>
    <w:p>
      <w:pPr>
        <w:pStyle w:val="Compact"/>
        <w:numPr>
          <w:ilvl w:val="0"/>
          <w:numId w:val="1007"/>
        </w:numPr>
      </w:pPr>
      <w:r>
        <w:t xml:space="preserve">Glomerular Disease Study and Trial Consortium and NephJC.</w:t>
      </w:r>
    </w:p>
    <w:p>
      <w:pPr>
        <w:pStyle w:val="Compact"/>
        <w:numPr>
          <w:ilvl w:val="0"/>
          <w:numId w:val="1007"/>
        </w:numPr>
      </w:pPr>
      <w:r>
        <w:t xml:space="preserve">American Gastroenterological Association.</w:t>
      </w:r>
    </w:p>
    <w:p>
      <w:pPr>
        <w:pStyle w:val="Compact"/>
        <w:numPr>
          <w:ilvl w:val="0"/>
          <w:numId w:val="1007"/>
        </w:numPr>
      </w:pPr>
      <w:r>
        <w:t xml:space="preserve">American Society for Gastrointestinal Endoscopy.</w:t>
      </w:r>
    </w:p>
    <w:p>
      <w:pPr>
        <w:pStyle w:val="Compact"/>
        <w:numPr>
          <w:ilvl w:val="0"/>
          <w:numId w:val="1007"/>
        </w:numPr>
      </w:pPr>
      <w:r>
        <w:t xml:space="preserve">American College of Emergency Physicians, including its 2026 multi-specialty letter naming multiple</w:t>
      </w:r>
      <w:r>
        <w:t xml:space="preserve"> </w:t>
      </w:r>
      <w:r>
        <w:t xml:space="preserve">anatomical and medical concepts.</w:t>
      </w:r>
    </w:p>
    <w:p>
      <w:pPr>
        <w:pStyle w:val="FirstParagraph"/>
      </w:pPr>
      <w:r>
        <w:t xml:space="preserve">The memo should describe these organizations as professional and coalition support. Unicode's expected-usage</w:t>
      </w:r>
      <w:r>
        <w:t xml:space="preserve"> </w:t>
      </w:r>
      <w:r>
        <w:t xml:space="preserve">analysis must remain based on public frequency evidence, not on the number of letters or endorsers.</w:t>
      </w:r>
    </w:p>
    <w:bookmarkEnd w:id="15"/>
    <w:bookmarkStart w:id="20" w:name="recommended-microsoft-role"/>
    <w:p>
      <w:pPr>
        <w:pStyle w:val="Heading2"/>
      </w:pPr>
      <w:r>
        <w:t xml:space="preserve">Recommended Microsoft role</w:t>
      </w:r>
    </w:p>
    <w:bookmarkStart w:id="16" w:name="david-rhew-and-medical-leadership"/>
    <w:p>
      <w:pPr>
        <w:pStyle w:val="Heading3"/>
      </w:pPr>
      <w:r>
        <w:t xml:space="preserve">David Rhew and medical leadership</w:t>
      </w:r>
    </w:p>
    <w:p>
      <w:pPr>
        <w:pStyle w:val="FirstParagraph"/>
      </w:pPr>
      <w:r>
        <w:t xml:space="preserve">Rhew's role would be to validate the clinical communication problem, confirm that the coverage framework is</w:t>
      </w:r>
      <w:r>
        <w:t xml:space="preserve"> </w:t>
      </w:r>
      <w:r>
        <w:t xml:space="preserve">medically coherent, and identify which concepts have broad everyday, clinical, educational, or emergency uses.</w:t>
      </w:r>
    </w:p>
    <w:bookmarkEnd w:id="16"/>
    <w:bookmarkStart w:id="17" w:name="microsoft-standards-leadership"/>
    <w:p>
      <w:pPr>
        <w:pStyle w:val="Heading3"/>
      </w:pPr>
      <w:r>
        <w:t xml:space="preserve">Microsoft standards leadership</w:t>
      </w:r>
    </w:p>
    <w:p>
      <w:pPr>
        <w:pStyle w:val="FirstParagraph"/>
      </w:pPr>
      <w:r>
        <w:t xml:space="preserve">The standards owner should determine whether Microsoft will carry a short L2 document focused on medical-emoji</w:t>
      </w:r>
      <w:r>
        <w:t xml:space="preserve"> </w:t>
      </w:r>
      <w:r>
        <w:t xml:space="preserve">coverage, ordering, and a review framework. The document should request referral to the appropriate Emoji Standard</w:t>
      </w:r>
      <w:r>
        <w:t xml:space="preserve"> </w:t>
      </w:r>
      <w:r>
        <w:t xml:space="preserve">and Research process, not ask the UTC to encode a slate by consensus vote.</w:t>
      </w:r>
    </w:p>
    <w:bookmarkEnd w:id="17"/>
    <w:bookmarkStart w:id="18" w:name="microsoft-design-and-product-leadership"/>
    <w:p>
      <w:pPr>
        <w:pStyle w:val="Heading3"/>
      </w:pPr>
      <w:r>
        <w:t xml:space="preserve">Microsoft design and product leadership</w:t>
      </w:r>
    </w:p>
    <w:p>
      <w:pPr>
        <w:pStyle w:val="FirstParagraph"/>
      </w:pPr>
      <w:r>
        <w:t xml:space="preserve">The product owner should review Pill Box, Blood Bag, and the leading anatomy concepts at 18x18 and in true</w:t>
      </w:r>
      <w:r>
        <w:t xml:space="preserve"> </w:t>
      </w:r>
      <w:r>
        <w:t xml:space="preserve">black-and-white. The review should identify which paradigms Microsoft could plausibly support if Unicode advances</w:t>
      </w:r>
      <w:r>
        <w:t xml:space="preserve"> </w:t>
      </w:r>
      <w:r>
        <w:t xml:space="preserve">them.</w:t>
      </w:r>
    </w:p>
    <w:bookmarkEnd w:id="18"/>
    <w:bookmarkStart w:id="19" w:name="microsoft-legal-and-communications"/>
    <w:p>
      <w:pPr>
        <w:pStyle w:val="Heading3"/>
      </w:pPr>
      <w:r>
        <w:t xml:space="preserve">Microsoft Legal and Communications</w:t>
      </w:r>
    </w:p>
    <w:p>
      <w:pPr>
        <w:pStyle w:val="FirstParagraph"/>
      </w:pPr>
      <w:r>
        <w:t xml:space="preserve">Legal and Communications should approve any anticipated-implementation language and any public use of Microsoft</w:t>
      </w:r>
      <w:r>
        <w:t xml:space="preserve"> </w:t>
      </w:r>
      <w:r>
        <w:t xml:space="preserve">health research or Copilot-related material. Private Microsoft data should not appear in the public L2 document</w:t>
      </w:r>
      <w:r>
        <w:t xml:space="preserve"> </w:t>
      </w:r>
      <w:r>
        <w:t xml:space="preserve">without explicit clearance.</w:t>
      </w:r>
    </w:p>
    <w:bookmarkEnd w:id="19"/>
    <w:bookmarkEnd w:id="20"/>
    <w:bookmarkStart w:id="21" w:name="the-requested-working-group-nudge"/>
    <w:p>
      <w:pPr>
        <w:pStyle w:val="Heading2"/>
      </w:pPr>
      <w:r>
        <w:t xml:space="preserve">The requested working-group nudge</w:t>
      </w:r>
    </w:p>
    <w:p>
      <w:pPr>
        <w:pStyle w:val="FirstParagraph"/>
      </w:pPr>
      <w:r>
        <w:t xml:space="preserve">The appropriate request is procedural and substantive, not outcome-seeking:</w:t>
      </w:r>
    </w:p>
    <w:p>
      <w:pPr>
        <w:pStyle w:val="BlockText"/>
      </w:pPr>
      <w:r>
        <w:t xml:space="preserve">Microsoft respectfully asks that the attached medical-emoji coverage analysis and individual proposal materials</w:t>
      </w:r>
      <w:r>
        <w:t xml:space="preserve"> </w:t>
      </w:r>
      <w:r>
        <w:t xml:space="preserve">be routed to the appropriate Unicode working group and reviewed on their complete technical merits, including</w:t>
      </w:r>
      <w:r>
        <w:t xml:space="preserve"> </w:t>
      </w:r>
      <w:r>
        <w:t xml:space="preserve">the evidence, distinctiveness, public utility, image rights, and anticipated vendor-support considerations.</w:t>
      </w:r>
    </w:p>
    <w:p>
      <w:pPr>
        <w:pStyle w:val="FirstParagraph"/>
      </w:pPr>
      <w:r>
        <w:t xml:space="preserve">This wording gives the materials institutional weight without asking Unicode to approve them because Microsoft</w:t>
      </w:r>
      <w:r>
        <w:t xml:space="preserve"> </w:t>
      </w:r>
      <w:r>
        <w:t xml:space="preserve">supports them. It also preserves the independence of the Emoji Standard and Research Working Group.</w:t>
      </w:r>
    </w:p>
    <w:bookmarkEnd w:id="21"/>
    <w:bookmarkStart w:id="22" w:name="decision-requested-from-chowdhary"/>
    <w:p>
      <w:pPr>
        <w:pStyle w:val="Heading2"/>
      </w:pPr>
      <w:r>
        <w:t xml:space="preserve">Decision requested from Chowdhary</w:t>
      </w:r>
    </w:p>
    <w:p>
      <w:pPr>
        <w:pStyle w:val="FirstParagraph"/>
      </w:pPr>
      <w:r>
        <w:t xml:space="preserve">Would Microsoft support a bounded medical-emoji coverage program and authorize a standards, medical, design, and</w:t>
      </w:r>
      <w:r>
        <w:t xml:space="preserve"> </w:t>
      </w:r>
      <w:r>
        <w:t xml:space="preserve">legal owner to review it? If yes, would Microsoft's Unicode delegate carry the L2 discussion document and ask the</w:t>
      </w:r>
      <w:r>
        <w:t xml:space="preserve"> </w:t>
      </w:r>
      <w:r>
        <w:t xml:space="preserve">working group to review the associated individual proposals through the normal process?</w:t>
      </w:r>
    </w:p>
    <w:p>
      <w:pPr>
        <w:pStyle w:val="BodyText"/>
      </w:pPr>
      <w:r>
        <w:t xml:space="preserve">If the answer is no, the project will continue as an individual-submitter effort. The Microsoft review would</w:t>
      </w:r>
      <w:r>
        <w:t xml:space="preserve"> </w:t>
      </w:r>
      <w:r>
        <w:t xml:space="preserve">still be valuable if it identifies one product-supported concept, particularly Pill Box or Blood Bag, and gives</w:t>
      </w:r>
      <w:r>
        <w:t xml:space="preserve"> </w:t>
      </w:r>
      <w:r>
        <w:t xml:space="preserve">procedural guidance without formal sponsorship.</w:t>
      </w:r>
    </w:p>
    <w:bookmarkEnd w:id="22"/>
    <w:bookmarkStart w:id="23" w:name="guardrails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08"/>
        </w:numPr>
      </w:pPr>
      <w:r>
        <w:t xml:space="preserve">Do not call the program a complete anatomy taxonomy.</w:t>
      </w:r>
    </w:p>
    <w:p>
      <w:pPr>
        <w:pStyle w:val="Compact"/>
        <w:numPr>
          <w:ilvl w:val="0"/>
          <w:numId w:val="1008"/>
        </w:numPr>
      </w:pPr>
      <w:r>
        <w:t xml:space="preserve">Do not ask Unicode to encode every listed concept at once.</w:t>
      </w:r>
    </w:p>
    <w:p>
      <w:pPr>
        <w:pStyle w:val="Compact"/>
        <w:numPr>
          <w:ilvl w:val="0"/>
          <w:numId w:val="1008"/>
        </w:numPr>
      </w:pPr>
      <w:r>
        <w:t xml:space="preserve">Do not use society letters as frequency evidence.</w:t>
      </w:r>
    </w:p>
    <w:p>
      <w:pPr>
        <w:pStyle w:val="Compact"/>
        <w:numPr>
          <w:ilvl w:val="0"/>
          <w:numId w:val="1008"/>
        </w:numPr>
      </w:pPr>
      <w:r>
        <w:t xml:space="preserve">Do not present the 2022 organ decline-date interpretation as settled in a public filing without Unicode</w:t>
      </w:r>
      <w:r>
        <w:t xml:space="preserve"> </w:t>
      </w:r>
      <w:r>
        <w:t xml:space="preserve">confirmation, even though the internal program should plan for those concepts.</w:t>
      </w:r>
    </w:p>
    <w:p>
      <w:pPr>
        <w:pStyle w:val="Compact"/>
        <w:numPr>
          <w:ilvl w:val="0"/>
          <w:numId w:val="1008"/>
        </w:numPr>
      </w:pPr>
      <w:r>
        <w:t xml:space="preserve">Do not include repository links in public-facing versions of this memo.</w:t>
      </w:r>
    </w:p>
    <w:bookmarkEnd w:id="23"/>
    <w:bookmarkStart w:id="27" w:name="public-standards-references"/>
    <w:p>
      <w:pPr>
        <w:pStyle w:val="Heading2"/>
      </w:pPr>
      <w:r>
        <w:t xml:space="preserve">Public standards references</w:t>
      </w:r>
    </w:p>
    <w:p>
      <w:pPr>
        <w:pStyle w:val="FirstParagraph"/>
      </w:pPr>
      <w:r>
        <w:t xml:space="preserve">Unicode emoji proposal guidelines:</w:t>
      </w:r>
      <w:r>
        <w:t xml:space="preserve"> </w:t>
      </w:r>
      <w:hyperlink r:id="rId24">
        <w:r>
          <w:rPr>
            <w:rStyle w:val="Hyperlink"/>
          </w:rPr>
          <w:t xml:space="preserve">https://www.unicode.org/emoji/proposals.html</w:t>
        </w:r>
      </w:hyperlink>
    </w:p>
    <w:p>
      <w:pPr>
        <w:pStyle w:val="BodyText"/>
      </w:pPr>
      <w:r>
        <w:t xml:space="preserve">Apple accessibility emoji precedent, L2/18-080:</w:t>
      </w:r>
      <w:r>
        <w:t xml:space="preserve"> </w:t>
      </w:r>
      <w:hyperlink r:id="rId25">
        <w:r>
          <w:rPr>
            <w:rStyle w:val="Hyperlink"/>
          </w:rPr>
          <w:t xml:space="preserve">https://www.unicode.org/L2/L2018/18080-accessibility-emoji.pdf</w:t>
        </w:r>
      </w:hyperlink>
    </w:p>
    <w:p>
      <w:pPr>
        <w:pStyle w:val="BodyText"/>
      </w:pPr>
      <w:r>
        <w:t xml:space="preserve">Unicode document-submission guidance:</w:t>
      </w:r>
      <w:r>
        <w:t xml:space="preserve"> </w:t>
      </w:r>
      <w:hyperlink r:id="rId26">
        <w:r>
          <w:rPr>
            <w:rStyle w:val="Hyperlink"/>
          </w:rPr>
          <w:t xml:space="preserve">https://www.unicode.org/pending/docsubmit.html</w:t>
        </w:r>
      </w:hyperlink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www.unicode.org/L2/L2018/18080-accessibility-emoji.pdf" TargetMode="External" /><Relationship Type="http://schemas.openxmlformats.org/officeDocument/2006/relationships/hyperlink" Id="rId24" Target="https://www.unicode.org/emoji/proposals.html" TargetMode="External" /><Relationship Type="http://schemas.openxmlformats.org/officeDocument/2006/relationships/hyperlink" Id="rId26" Target="https://www.unicode.org/pending/docsubmi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unicode.org/L2/L2018/18080-accessibility-emoji.pdf" TargetMode="External" /><Relationship Type="http://schemas.openxmlformats.org/officeDocument/2006/relationships/hyperlink" Id="rId24" Target="https://www.unicode.org/emoji/proposals.html" TargetMode="External" /><Relationship Type="http://schemas.openxmlformats.org/officeDocument/2006/relationships/hyperlink" Id="rId26" Target="https://www.unicode.org/pending/docsubmi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Emoji Project: Microsoft Review and Standards-Sponsorship Request</dc:title>
  <dc:creator>Prepared by Shuhan He, MD</dc:creator>
  <cp:keywords/>
  <dcterms:created xsi:type="dcterms:W3CDTF">2026-07-10T18:25:34Z</dcterms:created>
  <dcterms:modified xsi:type="dcterms:W3CDTF">2026-07-10T18:25:34Z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13, 2026</vt:lpwstr>
  </property>
  <property fmtid="{D5CDD505-2E9C-101B-9397-08002B2CF9AE}" pid="3" name="subtitle">
    <vt:lpwstr>Executive memo for David Rhew, Microsoft medical leadership, and Vishal Chowdhary</vt:lpwstr>
  </property>
</Properties>
</file>