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cketTitle"/>
        <w:pBdr>
          <w:bottom w:val="single" w:color="1F49B6" w:sz="10" w:space="6"/>
        </w:pBdr>
      </w:pPr>
      <w:r>
        <w:t xml:space="preserve">HAEMR program commitment letter</w:t>
      </w:r>
    </w:p>
    <w:p>
      <w:r>
        <w:t xml:space="preserve">[Place on HAEMR or Mass General Brigham letterhead]</w:t>
      </w:r>
    </w:p>
    <w:p>
      <w:r>
        <w:t xml:space="preserve">[Date]</w:t>
      </w:r>
    </w:p>
    <w:p>
      <w:r>
        <w:t xml:space="preserve">NIH Integration of Nutrition Training into Health Care Education Challenge</w:t>
      </w:r>
    </w:p>
    <w:p>
      <w:r>
        <w:rPr>
          <w:b/>
          <w:bCs/>
        </w:rPr>
        <w:t xml:space="preserve">Re:</w:t>
      </w:r>
      <w:r>
        <w:t xml:space="preserve"> Program commitment for Open Nutrition Data Commons for Emergency Medicine Residency</w:t>
      </w:r>
    </w:p>
    <w:p>
      <w:r>
        <w:rPr>
          <w:b/>
          <w:bCs/>
        </w:rPr>
        <w:t xml:space="preserve">To the Challenge Reviewers:</w:t>
      </w:r>
      <w:r>
        <w:t xml:space="preserve"/>
      </w:r>
    </w:p>
    <w:p>
      <w:r>
        <w:t xml:space="preserve">I write on behalf of the Harvard Affiliated Emergency Medicine Residency to support Mass General Brigham's Developing Track submission, Open Nutrition Data Commons for Emergency Medicine Residency.</w:t>
      </w:r>
    </w:p>
    <w:p>
      <w:r>
        <w:t xml:space="preserve">HAEMR is a four-year emergency medicine residency sponsored by Mass General Brigham, ACGME program 1102421150. The proposed curriculum would create a longitudinal 40-hour nutrition pathway for HAEMR residents. Its working map connects 16 HHS nutrition competencies to emergency medicine cases, assessment, communication, referral, applied analytics, and responsible use of AI-supported nutrition information.</w:t>
      </w:r>
    </w:p>
    <w:p>
      <w:r>
        <w:t xml:space="preserve">Subject to institutional approval and standard residency curriculum governance, HAEMR commits to:</w:t>
      </w:r>
    </w:p>
    <w:p>
      <w:pPr>
        <w:pStyle w:val="ListParagraph"/>
        <w:numPr>
          <w:ilvl w:val="0"/>
          <w:numId w:val="2"/>
        </w:numPr>
      </w:pPr>
      <w:r>
        <w:t xml:space="preserve">complete a baseline inventory of current nutrition teaching and identify the gaps the new curriculum should address;</w:t>
      </w:r>
    </w:p>
    <w:p>
      <w:pPr>
        <w:pStyle w:val="ListParagraph"/>
        <w:numPr>
          <w:ilvl w:val="0"/>
          <w:numId w:val="2"/>
        </w:numPr>
      </w:pPr>
      <w:r>
        <w:t xml:space="preserve">determine the resident years, schedule, required or elective status, and faculty supervision for each component;</w:t>
      </w:r>
    </w:p>
    <w:p>
      <w:pPr>
        <w:pStyle w:val="ListParagraph"/>
        <w:numPr>
          <w:ilvl w:val="0"/>
          <w:numId w:val="2"/>
        </w:numPr>
      </w:pPr>
      <w:r>
        <w:t xml:space="preserve">review the clinical relevance and feasibility of the curriculum with emergency medicine faculty and a qualified nutrition professional;</w:t>
      </w:r>
    </w:p>
    <w:p>
      <w:pPr>
        <w:pStyle w:val="ListParagraph"/>
        <w:numPr>
          <w:ilvl w:val="0"/>
          <w:numId w:val="2"/>
        </w:numPr>
      </w:pPr>
      <w:r>
        <w:t xml:space="preserve">participate in pilot teaching, resident assessment, and curriculum improvement; and</w:t>
      </w:r>
    </w:p>
    <w:p>
      <w:pPr>
        <w:pStyle w:val="ListParagraph"/>
        <w:numPr>
          <w:ilvl w:val="0"/>
          <w:numId w:val="2"/>
        </w:numPr>
      </w:pPr>
      <w:r>
        <w:t xml:space="preserve">review the final challenge narrative for accurate descriptions of HAEMR and its commitments.</w:t>
      </w:r>
    </w:p>
    <w:p>
      <w:r>
        <w:t xml:space="preserve">The curriculum is designed for acute-care practice while preserving clear roles for registered dietitians, pharmacists, social care professionals, primary care clinicians, and specialists. Public teaching materials would use synthetic cases and open data rather than patient records.</w:t>
      </w:r>
    </w:p>
    <w:p>
      <w:r>
        <w:t xml:space="preserve">HAEMR supports the Division of Artificial Intelligence as the proposed curriculum builder and technical coordinator and the Mass General Brigham University Healthcare Data Analytics Program as an academic collaborator in analytics, visualization, reproducibility, and assessment design.</w:t>
      </w:r>
    </w:p>
    <w:p>
      <w:r>
        <w:t xml:space="preserve">Sincerely,</w:t>
      </w:r>
    </w:p>
    <w:p>
      <w:r>
        <w:t xml:space="preserve">______________________________________________</w:t>
      </w:r>
    </w:p>
    <w:p>
      <w:r>
        <w:t xml:space="preserve">Laura Welsh, MD</w:t>
      </w:r>
    </w:p>
    <w:p>
      <w:r>
        <w:t xml:space="preserve">Program Director</w:t>
      </w:r>
    </w:p>
    <w:p>
      <w:r>
        <w:t xml:space="preserve">Harvard Affiliated Emergency Medicine Residency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September 1, 2026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7"/>
        <w:szCs w:val="17"/>
      </w:rPr>
      <w:t xml:space="preserve">NIH Nutrition Education Challenge | MGB administrative intake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938"/>
        <w:sz w:val="22"/>
        <w:szCs w:val="22"/>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cketTitle">
    <w:name w:val="Packet Title"/>
    <w:basedOn w:val="Normal"/>
    <w:next w:val="Normal"/>
    <w:qFormat/>
    <w:pPr>
      <w:keepNext/>
      <w:spacing w:after="180"/>
    </w:pPr>
    <w:rPr>
      <w:rFonts w:ascii="Arial" w:cs="Arial" w:eastAsia="Arial" w:hAnsi="Arial"/>
      <w:b/>
      <w:bCs/>
      <w:color w:val="111827"/>
      <w:sz w:val="34"/>
      <w:szCs w:val="34"/>
    </w:rPr>
  </w:style>
  <w:style w:type="paragraph" w:styleId="Heading1">
    <w:name w:val="Heading 1"/>
    <w:basedOn w:val="Normal"/>
    <w:next w:val="Normal"/>
    <w:qFormat/>
    <w:pPr>
      <w:keepNext/>
      <w:spacing w:after="80" w:before="180"/>
      <w:outlineLvl w:val="0"/>
    </w:pPr>
    <w:rPr>
      <w:rFonts w:ascii="Arial" w:cs="Arial" w:eastAsia="Arial" w:hAnsi="Arial"/>
      <w:b/>
      <w:bCs/>
      <w:color w:val="1F49B6"/>
      <w:sz w:val="27"/>
      <w:szCs w:val="27"/>
    </w:rPr>
  </w:style>
  <w:style w:type="paragraph" w:styleId="Heading2">
    <w:name w:val="Heading 2"/>
    <w:basedOn w:val="Normal"/>
    <w:next w:val="Normal"/>
    <w:qFormat/>
    <w:pPr>
      <w:keepNext/>
      <w:spacing w:after="80" w:before="180"/>
      <w:outlineLvl w:val="1"/>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03-haemr-program-commitment-letter</dc:title>
  <dc:creator>Open Clinical Learning Commons</dc:creator>
  <dc:description>Draft for Mass General Brigham Research Management review</dc:description>
  <cp:lastModifiedBy>Un-named</cp:lastModifiedBy>
  <cp:revision>1</cp:revision>
  <dcterms:created xsi:type="dcterms:W3CDTF">2026-09-01T17:22:46.596Z</dcterms:created>
  <dcterms:modified xsi:type="dcterms:W3CDTF">2026-09-01T17:22:46.596Z</dcterms:modified>
</cp:coreProperties>
</file>

<file path=docProps/custom.xml><?xml version="1.0" encoding="utf-8"?>
<Properties xmlns="http://schemas.openxmlformats.org/officeDocument/2006/custom-properties" xmlns:vt="http://schemas.openxmlformats.org/officeDocument/2006/docPropsVTypes"/>
</file>