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cketTitle"/>
        <w:pBdr>
          <w:bottom w:val="single" w:color="1F49B6" w:sz="10" w:space="6"/>
        </w:pBdr>
      </w:pPr>
      <w:r>
        <w:t xml:space="preserve">Division AI build commitment letter</w:t>
      </w:r>
    </w:p>
    <w:p>
      <w:r>
        <w:t xml:space="preserve">[Place on Mass General Brigham Department of Emergency Medicine letterhead]</w:t>
      </w:r>
    </w:p>
    <w:p>
      <w:r>
        <w:t xml:space="preserve">[Date]</w:t>
      </w:r>
    </w:p>
    <w:p>
      <w:r>
        <w:t xml:space="preserve">NIH Integration of Nutrition Training into Health Care Education Challenge</w:t>
      </w:r>
    </w:p>
    <w:p>
      <w:r>
        <w:rPr>
          <w:b/>
          <w:bCs/>
        </w:rPr>
        <w:t xml:space="preserve">Re:</w:t>
      </w:r>
      <w:r>
        <w:t xml:space="preserve"> Division of Artificial Intelligence commitment for Open Nutrition Data Commons for Emergency Medicine Residency</w:t>
      </w:r>
    </w:p>
    <w:p>
      <w:r>
        <w:rPr>
          <w:b/>
          <w:bCs/>
        </w:rPr>
        <w:t xml:space="preserve">To the Challenge Reviewers:</w:t>
      </w:r>
      <w:r>
        <w:t xml:space="preserve"/>
      </w:r>
    </w:p>
    <w:p>
      <w:r>
        <w:t xml:space="preserve">The Mass General Brigham Department of Emergency Medicine Division of Artificial Intelligence supports the proposed Developing Track curriculum, Open Nutrition Data Commons for Emergency Medicine Residency.</w:t>
      </w:r>
    </w:p>
    <w:p>
      <w:r>
        <w:t xml:space="preserve">Subject to institutional approval, the Division will lead curriculum engineering and technical coordination in partnership with HAEMR, the Mass General Brigham University Healthcare Data Analytics Program, and a qualified nutrition professional. The working curriculum maps 16 HHS competencies to 40 hours of emergency medicine residency education.</w:t>
      </w:r>
    </w:p>
    <w:p>
      <w:r>
        <w:rPr>
          <w:b/>
          <w:bCs/>
        </w:rPr>
        <w:t xml:space="preserve">The Division commits to: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build reusable case, data, visualization, simulation, and assessment materials for the selected competencies;</w:t>
      </w:r>
    </w:p>
    <w:p>
      <w:pPr>
        <w:pStyle w:val="ListParagraph"/>
        <w:numPr>
          <w:ilvl w:val="0"/>
          <w:numId w:val="2"/>
        </w:numPr>
      </w:pPr>
      <w:r>
        <w:t xml:space="preserve">use synthetic patient cases and appropriately licensed open data for public teaching assets;</w:t>
      </w:r>
    </w:p>
    <w:p>
      <w:pPr>
        <w:pStyle w:val="ListParagraph"/>
        <w:numPr>
          <w:ilvl w:val="0"/>
          <w:numId w:val="2"/>
        </w:numPr>
      </w:pPr>
      <w:r>
        <w:t xml:space="preserve">create a responsible AI exercise in which residents verify sources, identify unsupported or unsafe nutrition claims, and document the final human decision;</w:t>
      </w:r>
    </w:p>
    <w:p>
      <w:pPr>
        <w:pStyle w:val="ListParagraph"/>
        <w:numPr>
          <w:ilvl w:val="0"/>
          <w:numId w:val="2"/>
        </w:numPr>
      </w:pPr>
      <w:r>
        <w:t xml:space="preserve">maintain reproducible build records, source provenance, known limits, accessibility notes, and versioned public releases; and</w:t>
      </w:r>
    </w:p>
    <w:p>
      <w:pPr>
        <w:pStyle w:val="ListParagraph"/>
        <w:numPr>
          <w:ilvl w:val="0"/>
          <w:numId w:val="2"/>
        </w:numPr>
      </w:pPr>
      <w:r>
        <w:t xml:space="preserve">prepare an adoption package that another residency can use without MGB credentials, protected health information, MGB Azure access, or proprietary software.</w:t>
      </w:r>
    </w:p>
    <w:p>
      <w:r>
        <w:t xml:space="preserve">MGB's institutionally procured Azure environment may support internal development where approved. It will not be a prerequisite for public adoption. The proposed curriculum does not place an AI system into clinical care and does not authorize patient-facing AI use.</w:t>
      </w:r>
    </w:p>
    <w:p>
      <w:r>
        <w:t xml:space="preserve">The Division also supports Shuhan He, MD, as the proposed institutional Point of Contact, subject to written Mass General Brigham authorization.</w:t>
      </w:r>
    </w:p>
    <w:p>
      <w:r>
        <w:t xml:space="preserve">Sincerely,</w:t>
      </w:r>
    </w:p>
    <w:p>
      <w:r>
        <w:t xml:space="preserve">______________________________________________</w:t>
      </w:r>
    </w:p>
    <w:p>
      <w:r>
        <w:t xml:space="preserve">[Division Chief Name]</w:t>
      </w:r>
    </w:p>
    <w:p>
      <w:r>
        <w:t xml:space="preserve">[Official Title]</w:t>
      </w:r>
    </w:p>
    <w:p>
      <w:r>
        <w:t xml:space="preserve">MGB Department of Emergency Medicine Division of Artificial Intelligence</w:t>
      </w:r>
    </w:p>
    <w:p>
      <w:r>
        <w:rPr>
          <w:b/>
          <w:bCs/>
        </w:rPr>
        <w:t xml:space="preserve">Date:</w:t>
      </w:r>
      <w:r>
        <w:t xml:space="preserve"> 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September 1, 2026 |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7"/>
        <w:szCs w:val="17"/>
      </w:rPr>
      <w:t xml:space="preserve">NIH Nutrition Education Challenge | MGB administrative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cketTitle">
    <w:name w:val="Packet Title"/>
    <w:basedOn w:val="Normal"/>
    <w:next w:val="Normal"/>
    <w:qFormat/>
    <w:pPr>
      <w:keepNext/>
      <w:spacing w:after="18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9B6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04-division-ai-build-commitment-letter</dc:title>
  <dc:creator>Open Clinical Learning Commons</dc:creator>
  <dc:description>Draft for Mass General Brigham Research Management review</dc:description>
  <cp:lastModifiedBy>Un-named</cp:lastModifiedBy>
  <cp:revision>1</cp:revision>
  <dcterms:created xsi:type="dcterms:W3CDTF">2026-09-01T17:22:46.606Z</dcterms:created>
  <dcterms:modified xsi:type="dcterms:W3CDTF">2026-09-01T17:22:46.606Z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