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PacketTitle"/>
        <w:pBdr>
          <w:bottom w:val="single" w:color="1F49B6" w:sz="10" w:space="6"/>
        </w:pBdr>
      </w:pPr>
      <w:r>
        <w:t xml:space="preserve">Healthcare Data Analytics collaboration letter</w:t>
      </w:r>
    </w:p>
    <w:p>
      <w:r>
        <w:t xml:space="preserve">[Place on Mass General Brigham University letterhead]</w:t>
      </w:r>
    </w:p>
    <w:p>
      <w:r>
        <w:t xml:space="preserve">[Date]</w:t>
      </w:r>
    </w:p>
    <w:p>
      <w:r>
        <w:t xml:space="preserve">NIH Integration of Nutrition Training into Health Care Education Challenge</w:t>
      </w:r>
    </w:p>
    <w:p>
      <w:r>
        <w:rPr>
          <w:b/>
          <w:bCs/>
        </w:rPr>
        <w:t xml:space="preserve">Re:</w:t>
      </w:r>
      <w:r>
        <w:t xml:space="preserve"> Healthcare Data Analytics collaboration for Open Nutrition Data Commons for Emergency Medicine Residency</w:t>
      </w:r>
    </w:p>
    <w:p>
      <w:r>
        <w:rPr>
          <w:b/>
          <w:bCs/>
        </w:rPr>
        <w:t xml:space="preserve">To the Challenge Reviewers:</w:t>
      </w:r>
      <w:r>
        <w:t xml:space="preserve"/>
      </w:r>
    </w:p>
    <w:p>
      <w:r>
        <w:t xml:space="preserve">The Mass General Brigham University Healthcare Data Analytics Program supports the proposed Developing Track curriculum, Open Nutrition Data Commons for Emergency Medicine Residency.</w:t>
      </w:r>
    </w:p>
    <w:p>
      <w:r>
        <w:t xml:space="preserve">The program's role is to connect nutrition education with practical data reasoning. Subject to university approval, Healthcare Data Analytics will contribute:</w:t>
      </w:r>
    </w:p>
    <w:p>
      <w:pPr>
        <w:pStyle w:val="ListParagraph"/>
        <w:numPr>
          <w:ilvl w:val="0"/>
          <w:numId w:val="2"/>
        </w:numPr>
      </w:pPr>
      <w:r>
        <w:t xml:space="preserve">applied analytic methods for interpreting nutrition, clinical, and population data;</w:t>
      </w:r>
    </w:p>
    <w:p>
      <w:pPr>
        <w:pStyle w:val="ListParagraph"/>
        <w:numPr>
          <w:ilvl w:val="0"/>
          <w:numId w:val="2"/>
        </w:numPr>
      </w:pPr>
      <w:r>
        <w:t xml:space="preserve">clear and accessible data visualization activities;</w:t>
      </w:r>
    </w:p>
    <w:p>
      <w:pPr>
        <w:pStyle w:val="ListParagraph"/>
        <w:numPr>
          <w:ilvl w:val="0"/>
          <w:numId w:val="2"/>
        </w:numPr>
      </w:pPr>
      <w:r>
        <w:t xml:space="preserve">reproducible workflows using synthetic cases and appropriately licensed open data;</w:t>
      </w:r>
    </w:p>
    <w:p>
      <w:pPr>
        <w:pStyle w:val="ListParagraph"/>
        <w:numPr>
          <w:ilvl w:val="0"/>
          <w:numId w:val="2"/>
        </w:numPr>
      </w:pPr>
      <w:r>
        <w:t xml:space="preserve">assessment methods for source selection, data interpretation, uncertainty, and communication; and</w:t>
      </w:r>
    </w:p>
    <w:p>
      <w:pPr>
        <w:pStyle w:val="ListParagraph"/>
        <w:numPr>
          <w:ilvl w:val="0"/>
          <w:numId w:val="2"/>
        </w:numPr>
      </w:pPr>
      <w:r>
        <w:t xml:space="preserve">faculty review of the curriculum's analytic workload and adoption materials.</w:t>
      </w:r>
    </w:p>
    <w:p>
      <w:r>
        <w:t xml:space="preserve">These contributions will support the HHS competencies selected by HAEMR and the curriculum team. Analytics and visualization are teaching methods within the 40-hour map and will not be counted as additional nutrition hours without a mapped competency and assessment.</w:t>
      </w:r>
    </w:p>
    <w:p>
      <w:r>
        <w:t xml:space="preserve">Healthcare Data Analytics is an academic collaborator in the proposed Mass General Brigham submission. This letter does not designate Mass General Brigham University as a formal Partner Entity, make it a claimant to prize funds, or authorize submission on the university's behalf. Any change to that status requires separate institutional approval.</w:t>
      </w:r>
    </w:p>
    <w:p>
      <w:r>
        <w:t xml:space="preserve">Sincerely,</w:t>
      </w:r>
    </w:p>
    <w:p>
      <w:r>
        <w:t xml:space="preserve">______________________________________________</w:t>
      </w:r>
    </w:p>
    <w:p>
      <w:r>
        <w:t xml:space="preserve">Shuhan He, MD</w:t>
      </w:r>
    </w:p>
    <w:p>
      <w:r>
        <w:t xml:space="preserve">Program Director, Healthcare Data Analytics</w:t>
      </w:r>
    </w:p>
    <w:p>
      <w:r>
        <w:t xml:space="preserve">Mass General Brigham University</w:t>
      </w:r>
    </w:p>
    <w:p>
      <w:r>
        <w:rPr>
          <w:b/>
          <w:bCs/>
        </w:rPr>
        <w:t xml:space="preserve">Date:</w:t>
      </w:r>
      <w:r>
        <w:t xml:space="preserve"> _________________________________________</w:t>
      </w:r>
    </w:p>
    <w:p>
      <w:r>
        <w:rPr>
          <w:b/>
          <w:bCs/>
        </w:rPr>
        <w:t xml:space="preserve">Optional academic approval:</w:t>
      </w:r>
      <w:r>
        <w:t xml:space="preserve"/>
      </w:r>
    </w:p>
    <w:p>
      <w:r>
        <w:t xml:space="preserve">______________________________________________</w:t>
      </w:r>
    </w:p>
    <w:p>
      <w:r>
        <w:t xml:space="preserve">[Name and title]</w:t>
      </w:r>
    </w:p>
    <w:p>
      <w:r>
        <w:rPr>
          <w:b/>
          <w:bCs/>
        </w:rPr>
        <w:t xml:space="preserve">Date:</w:t>
      </w:r>
      <w:r>
        <w:t xml:space="preserve"> _________________________________________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4748B"/>
        <w:sz w:val="17"/>
        <w:szCs w:val="17"/>
      </w:rPr>
      <w:t xml:space="preserve">September 1, 2026 | Page </w:t>
    </w:r>
    <w:r>
      <w:rPr>
        <w:color w:val="64748B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4748B"/>
        <w:sz w:val="17"/>
        <w:szCs w:val="17"/>
      </w:rPr>
      <w:t xml:space="preserve">NIH Nutrition Education Challenge | Draft for MGB review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02938"/>
        <w:sz w:val="22"/>
        <w:szCs w:val="22"/>
      </w:rPr>
    </w:rPrDefault>
    <w:pPrDefault>
      <w:pPr>
        <w:spacing w:after="100" w:line="264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PacketTitle">
    <w:name w:val="Packet Title"/>
    <w:basedOn w:val="Normal"/>
    <w:next w:val="Normal"/>
    <w:qFormat/>
    <w:pPr>
      <w:keepNext/>
      <w:spacing w:after="180"/>
    </w:pPr>
    <w:rPr>
      <w:rFonts w:ascii="Arial" w:cs="Arial" w:eastAsia="Arial" w:hAnsi="Arial"/>
      <w:b/>
      <w:bCs/>
      <w:color w:val="111827"/>
      <w:sz w:val="34"/>
      <w:szCs w:val="34"/>
    </w:rPr>
  </w:style>
  <w:style w:type="paragraph" w:styleId="Heading1">
    <w:name w:val="Heading 1"/>
    <w:basedOn w:val="Normal"/>
    <w:next w:val="Normal"/>
    <w:qFormat/>
    <w:pPr>
      <w:keepNext/>
      <w:spacing w:after="80" w:before="180"/>
      <w:outlineLvl w:val="0"/>
    </w:pPr>
    <w:rPr>
      <w:rFonts w:ascii="Arial" w:cs="Arial" w:eastAsia="Arial" w:hAnsi="Arial"/>
      <w:b/>
      <w:bCs/>
      <w:color w:val="1F49B6"/>
      <w:sz w:val="27"/>
      <w:szCs w:val="27"/>
    </w:rPr>
  </w:style>
  <w:style w:type="paragraph" w:styleId="Heading2">
    <w:name w:val="Heading 2"/>
    <w:basedOn w:val="Normal"/>
    <w:next w:val="Normal"/>
    <w:qFormat/>
    <w:pPr>
      <w:keepNext/>
      <w:spacing w:after="80" w:before="180"/>
      <w:outlineLvl w:val="1"/>
    </w:pPr>
    <w:rPr>
      <w:rFonts w:ascii="Arial" w:cs="Arial" w:eastAsia="Arial" w:hAnsi="Arial"/>
      <w:b/>
      <w:bCs/>
      <w:color w:val="334155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05-health-data-analytics-collaboration-letter</dc:title>
  <dc:creator>Open Clinical Learning Commons</dc:creator>
  <dc:description>Draft for Mass General Brigham institutional review</dc:description>
  <cp:lastModifiedBy>Un-named</cp:lastModifiedBy>
  <cp:revision>1</cp:revision>
  <dcterms:created xsi:type="dcterms:W3CDTF">2026-09-01T17:13:08.902Z</dcterms:created>
  <dcterms:modified xsi:type="dcterms:W3CDTF">2026-09-01T17:13:08.902Z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