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3D18A" w14:textId="77777777" w:rsidR="00C56E7F" w:rsidRPr="00CB54B3" w:rsidRDefault="00C56E7F" w:rsidP="00C56E7F">
      <w:pPr>
        <w:widowControl w:val="0"/>
        <w:spacing w:line="560" w:lineRule="exact"/>
        <w:rPr>
          <w:rFonts w:ascii="Times New Roman" w:eastAsia="仿宋_GB2312" w:hAnsi="Times New Roman"/>
          <w:b/>
          <w:kern w:val="44"/>
          <w:sz w:val="28"/>
          <w:szCs w:val="28"/>
        </w:rPr>
      </w:pPr>
      <w:r w:rsidRPr="00CB54B3">
        <w:rPr>
          <w:rFonts w:ascii="宋体" w:eastAsia="宋体" w:hAnsi="宋体"/>
          <w:b/>
          <w:kern w:val="44"/>
          <w:sz w:val="24"/>
          <w:szCs w:val="28"/>
        </w:rPr>
        <w:t>附件</w:t>
      </w:r>
      <w:r>
        <w:rPr>
          <w:rFonts w:ascii="宋体" w:eastAsia="宋体" w:hAnsi="宋体"/>
          <w:b/>
          <w:kern w:val="44"/>
          <w:sz w:val="24"/>
          <w:szCs w:val="28"/>
        </w:rPr>
        <w:t>2</w:t>
      </w:r>
      <w:r w:rsidRPr="00CB54B3">
        <w:rPr>
          <w:rFonts w:ascii="宋体" w:eastAsia="宋体" w:hAnsi="宋体"/>
          <w:b/>
          <w:kern w:val="44"/>
          <w:sz w:val="24"/>
          <w:szCs w:val="28"/>
        </w:rPr>
        <w:t>．</w:t>
      </w:r>
    </w:p>
    <w:p w14:paraId="43BA5D38" w14:textId="00630B0D" w:rsidR="00C56E7F" w:rsidRPr="00CB54B3" w:rsidRDefault="00B377FD" w:rsidP="00C56E7F">
      <w:pPr>
        <w:keepNext/>
        <w:keepLines/>
        <w:widowControl w:val="0"/>
        <w:spacing w:line="560" w:lineRule="exact"/>
        <w:jc w:val="center"/>
        <w:outlineLvl w:val="0"/>
        <w:rPr>
          <w:rFonts w:ascii="Times New Roman" w:eastAsia="仿宋_GB2312" w:hAnsi="Times New Roman"/>
          <w:b/>
          <w:kern w:val="44"/>
          <w:sz w:val="28"/>
          <w:szCs w:val="28"/>
        </w:rPr>
      </w:pPr>
      <w:r w:rsidRPr="00B377FD">
        <w:rPr>
          <w:rFonts w:ascii="宋体" w:eastAsia="宋体" w:hAnsi="宋体" w:hint="eastAsia"/>
          <w:b/>
          <w:kern w:val="44"/>
          <w:sz w:val="32"/>
          <w:szCs w:val="28"/>
        </w:rPr>
        <w:t>计算机科学与技术学院</w:t>
      </w:r>
      <w:r w:rsidR="00C56E7F" w:rsidRPr="00B377FD">
        <w:rPr>
          <w:rFonts w:ascii="宋体" w:eastAsia="宋体" w:hAnsi="宋体"/>
          <w:b/>
          <w:kern w:val="44"/>
          <w:sz w:val="32"/>
          <w:szCs w:val="28"/>
        </w:rPr>
        <w:t xml:space="preserve"> </w:t>
      </w:r>
      <w:r>
        <w:rPr>
          <w:rFonts w:ascii="宋体" w:eastAsia="宋体" w:hAnsi="宋体" w:hint="eastAsia"/>
          <w:b/>
          <w:kern w:val="44"/>
          <w:sz w:val="32"/>
          <w:szCs w:val="28"/>
          <w:u w:val="single"/>
        </w:rPr>
        <w:t xml:space="preserve"> </w:t>
      </w:r>
      <w:r>
        <w:rPr>
          <w:rFonts w:ascii="宋体" w:eastAsia="宋体" w:hAnsi="宋体"/>
          <w:b/>
          <w:kern w:val="44"/>
          <w:sz w:val="32"/>
          <w:szCs w:val="28"/>
          <w:u w:val="single"/>
        </w:rPr>
        <w:t xml:space="preserve">           </w:t>
      </w:r>
      <w:r w:rsidR="00C56E7F" w:rsidRPr="00CB54B3">
        <w:rPr>
          <w:rFonts w:ascii="宋体" w:eastAsia="宋体" w:hAnsi="宋体"/>
          <w:b/>
          <w:kern w:val="44"/>
          <w:sz w:val="32"/>
          <w:szCs w:val="28"/>
        </w:rPr>
        <w:t>课程教学大纲</w:t>
      </w:r>
    </w:p>
    <w:tbl>
      <w:tblPr>
        <w:tblW w:w="8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1134"/>
        <w:gridCol w:w="708"/>
        <w:gridCol w:w="567"/>
        <w:gridCol w:w="1276"/>
        <w:gridCol w:w="3178"/>
      </w:tblGrid>
      <w:tr w:rsidR="00C56E7F" w:rsidRPr="00CB54B3" w14:paraId="53EFBC30" w14:textId="77777777" w:rsidTr="00226A49">
        <w:tc>
          <w:tcPr>
            <w:tcW w:w="4077" w:type="dxa"/>
            <w:gridSpan w:val="4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课程名称：大模型推理系统与实践</w:t>
            </w:r>
          </w:p>
        </w:tc>
        <w:tc>
          <w:tcPr>
            <w:tcW w:w="4454" w:type="dxa"/>
            <w:gridSpan w:val="2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课程代码：待定</w:t>
            </w:r>
          </w:p>
        </w:tc>
      </w:tr>
      <w:tr w:rsidR="00C56E7F" w:rsidRPr="00CB54B3" w14:paraId="10BDD39A" w14:textId="77777777" w:rsidTr="00226A49">
        <w:tc>
          <w:tcPr>
            <w:tcW w:w="3510" w:type="dxa"/>
            <w:gridSpan w:val="3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适用层次：☑ 硕士  □ 博士</w:t>
            </w:r>
          </w:p>
        </w:tc>
        <w:tc>
          <w:tcPr>
            <w:tcW w:w="5021" w:type="dxa"/>
            <w:gridSpan w:val="3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适应学位类别：□ 学术学位  ☑ 专业学位</w:t>
            </w:r>
          </w:p>
        </w:tc>
      </w:tr>
      <w:tr w:rsidR="00C56E7F" w:rsidRPr="00B85076" w14:paraId="40E4178E" w14:textId="77777777" w:rsidTr="00226A49"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9"/>
              </w:rPr>
              <w:t>硕士课程类别：□ 公共必修课  □ 公共选修课  □ 学科通识课程</w:t>
            </w:r>
          </w:p>
          <w:p>
            <w:r>
              <w:rPr>
                <w:rFonts w:ascii="宋体" w:hAnsi="宋体" w:eastAsia="宋体"/>
                <w:b w:val="0"/>
                <w:sz w:val="19"/>
              </w:rPr>
              <w:t>□ 一级学科基础课程  □ 二级学科基础课程  □ 硕士专业课</w:t>
            </w:r>
          </w:p>
          <w:p>
            <w:r>
              <w:rPr>
                <w:rFonts w:ascii="宋体" w:hAnsi="宋体" w:eastAsia="宋体"/>
                <w:b w:val="0"/>
                <w:sz w:val="19"/>
              </w:rPr>
              <w:t>□ 专业基础课  □ 专业选修课  ☑ 实践教学课程</w:t>
            </w:r>
          </w:p>
        </w:tc>
      </w:tr>
      <w:tr w:rsidR="00406228" w:rsidRPr="00B85076" w14:paraId="0BB7D91F" w14:textId="77777777" w:rsidTr="00226A49"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博士课程类别：□ 公共必修课  □ 公共选修课  □ 学科通识课程  □ 博士专业课</w:t>
            </w:r>
          </w:p>
        </w:tc>
      </w:tr>
      <w:tr w:rsidR="00C56E7F" w:rsidRPr="00CB54B3" w14:paraId="059494A4" w14:textId="77777777" w:rsidTr="00226A49"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核心课程：□ 是  ☑ 否</w:t>
            </w:r>
          </w:p>
        </w:tc>
      </w:tr>
      <w:tr w:rsidR="00C56E7F" w:rsidRPr="00CB54B3" w14:paraId="167DC422" w14:textId="77777777" w:rsidTr="00226A49"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考核方式：□ 考试  ☑ 考查  □ 考试+考查</w:t>
            </w:r>
          </w:p>
        </w:tc>
      </w:tr>
      <w:tr w:rsidR="00C56E7F" w:rsidRPr="00CB54B3" w14:paraId="6C4EB569" w14:textId="77777777" w:rsidTr="00226A49">
        <w:tc>
          <w:tcPr>
            <w:tcW w:w="3510" w:type="dxa"/>
            <w:gridSpan w:val="3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学时：16</w:t>
            </w:r>
          </w:p>
        </w:tc>
        <w:tc>
          <w:tcPr>
            <w:tcW w:w="5021" w:type="dxa"/>
            <w:gridSpan w:val="3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学分：1</w:t>
            </w:r>
          </w:p>
        </w:tc>
      </w:tr>
      <w:tr w:rsidR="00C56E7F" w:rsidRPr="00CB54B3" w14:paraId="49DE05A6" w14:textId="77777777" w:rsidTr="00226A49">
        <w:trPr>
          <w:trHeight w:val="388"/>
        </w:trPr>
        <w:tc>
          <w:tcPr>
            <w:tcW w:w="1668" w:type="dxa"/>
          </w:tcPr>
          <w:p w14:paraId="2292727C" w14:textId="77777777" w:rsidR="00C56E7F" w:rsidRPr="00CB54B3" w:rsidRDefault="00C56E7F" w:rsidP="00226A49">
            <w:pPr>
              <w:widowControl w:val="0"/>
              <w:spacing w:line="56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0"/>
              </w:rPr>
            </w:pPr>
            <w:r w:rsidRPr="00CB54B3">
              <w:rPr>
                <w:rFonts w:ascii="宋体" w:eastAsia="宋体" w:hAnsi="宋体"/>
                <w:bCs/>
                <w:sz w:val="24"/>
                <w:szCs w:val="20"/>
              </w:rPr>
              <w:t>教师姓名</w:t>
            </w:r>
          </w:p>
        </w:tc>
        <w:tc>
          <w:tcPr>
            <w:tcW w:w="1134" w:type="dxa"/>
          </w:tcPr>
          <w:p w14:paraId="673EC3E7" w14:textId="77777777" w:rsidR="00C56E7F" w:rsidRPr="00CB54B3" w:rsidRDefault="00C56E7F" w:rsidP="00226A49">
            <w:pPr>
              <w:widowControl w:val="0"/>
              <w:spacing w:line="56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0"/>
              </w:rPr>
            </w:pPr>
            <w:r w:rsidRPr="00CB54B3">
              <w:rPr>
                <w:rFonts w:ascii="宋体" w:eastAsia="宋体" w:hAnsi="宋体"/>
                <w:bCs/>
                <w:sz w:val="24"/>
                <w:szCs w:val="20"/>
              </w:rPr>
              <w:t>职</w:t>
            </w:r>
            <w:r w:rsidRPr="00CB54B3">
              <w:rPr>
                <w:rFonts w:ascii="宋体" w:eastAsia="宋体" w:hAnsi="宋体"/>
                <w:bCs/>
                <w:sz w:val="24"/>
                <w:szCs w:val="20"/>
              </w:rPr>
              <w:t xml:space="preserve">  </w:t>
            </w:r>
            <w:r w:rsidRPr="00CB54B3">
              <w:rPr>
                <w:rFonts w:ascii="宋体" w:eastAsia="宋体" w:hAnsi="宋体"/>
                <w:bCs/>
                <w:sz w:val="24"/>
                <w:szCs w:val="20"/>
              </w:rPr>
              <w:t>称</w:t>
            </w:r>
          </w:p>
        </w:tc>
        <w:tc>
          <w:tcPr>
            <w:tcW w:w="1275" w:type="dxa"/>
            <w:gridSpan w:val="2"/>
          </w:tcPr>
          <w:p w14:paraId="6DEE7258" w14:textId="77777777" w:rsidR="00C56E7F" w:rsidRPr="00CB54B3" w:rsidRDefault="00C56E7F" w:rsidP="00226A49">
            <w:pPr>
              <w:widowControl w:val="0"/>
              <w:spacing w:line="56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0"/>
              </w:rPr>
            </w:pPr>
            <w:r w:rsidRPr="00CB54B3">
              <w:rPr>
                <w:rFonts w:ascii="宋体" w:eastAsia="宋体" w:hAnsi="宋体"/>
                <w:bCs/>
                <w:sz w:val="24"/>
                <w:szCs w:val="20"/>
              </w:rPr>
              <w:t>最高学历</w:t>
            </w:r>
          </w:p>
        </w:tc>
        <w:tc>
          <w:tcPr>
            <w:tcW w:w="1276" w:type="dxa"/>
          </w:tcPr>
          <w:p w14:paraId="6FA59CB7" w14:textId="77777777" w:rsidR="00C56E7F" w:rsidRPr="00CB54B3" w:rsidRDefault="00C56E7F" w:rsidP="00226A49">
            <w:pPr>
              <w:widowControl w:val="0"/>
              <w:spacing w:line="56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0"/>
              </w:rPr>
            </w:pPr>
            <w:r w:rsidRPr="00CB54B3">
              <w:rPr>
                <w:rFonts w:ascii="宋体" w:eastAsia="宋体" w:hAnsi="宋体"/>
                <w:bCs/>
                <w:sz w:val="24"/>
                <w:szCs w:val="20"/>
              </w:rPr>
              <w:t>最高学位</w:t>
            </w:r>
          </w:p>
        </w:tc>
        <w:tc>
          <w:tcPr>
            <w:tcW w:w="3178" w:type="dxa"/>
          </w:tcPr>
          <w:p w14:paraId="3F7A1756" w14:textId="77777777" w:rsidR="00C56E7F" w:rsidRPr="00CB54B3" w:rsidRDefault="00C56E7F" w:rsidP="00226A49">
            <w:pPr>
              <w:widowControl w:val="0"/>
              <w:spacing w:line="56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0"/>
              </w:rPr>
            </w:pPr>
            <w:r w:rsidRPr="00CB54B3">
              <w:rPr>
                <w:rFonts w:ascii="宋体" w:eastAsia="宋体" w:hAnsi="宋体"/>
                <w:bCs/>
                <w:sz w:val="24"/>
                <w:szCs w:val="20"/>
              </w:rPr>
              <w:t>研究方向及其与课程吻合度</w:t>
            </w:r>
          </w:p>
        </w:tc>
      </w:tr>
      <w:tr w:rsidR="00C56E7F" w:rsidRPr="00CB54B3" w14:paraId="4F0FAC3F" w14:textId="77777777" w:rsidTr="00226A49">
        <w:trPr>
          <w:trHeight w:val="388"/>
        </w:trPr>
        <w:tc>
          <w:tcPr>
            <w:tcW w:w="1668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张书豪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教授</w:t>
            </w: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博士研究生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  <w:t>博士</w:t>
            </w:r>
          </w:p>
        </w:tc>
        <w:tc>
          <w:tcPr>
            <w:tcW w:w="3178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19"/>
              </w:rPr>
              <w:t>研究方向为并行分布式系统、大模型推理基础设施、状态管理、异构计算与开源系统工程，与本课程关于大模型推理系统原理、实践和性能优化的内容高度吻合。</w:t>
            </w:r>
          </w:p>
        </w:tc>
      </w:tr>
      <w:tr w:rsidR="00C56E7F" w:rsidRPr="00CB54B3" w14:paraId="156B2493" w14:textId="77777777" w:rsidTr="00226A49">
        <w:trPr>
          <w:trHeight w:val="388"/>
        </w:trPr>
        <w:tc>
          <w:tcPr>
            <w:tcW w:w="1668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275" w:type="dxa"/>
            <w:gridSpan w:val="2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276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3178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:rsidR="00C56E7F" w:rsidRPr="00CB54B3" w14:paraId="5EA3768C" w14:textId="77777777" w:rsidTr="00226A49">
        <w:trPr>
          <w:trHeight w:val="388"/>
        </w:trPr>
        <w:tc>
          <w:tcPr>
            <w:tcW w:w="1668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275" w:type="dxa"/>
            <w:gridSpan w:val="2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276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3178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:rsidR="00C56E7F" w:rsidRPr="00CB54B3" w14:paraId="36302DE8" w14:textId="77777777" w:rsidTr="00226A49">
        <w:trPr>
          <w:trHeight w:val="388"/>
        </w:trPr>
        <w:tc>
          <w:tcPr>
            <w:tcW w:w="1668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134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275" w:type="dxa"/>
            <w:gridSpan w:val="2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1276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w="3178" w:type="dxa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 w:rsidR="00C56E7F" w:rsidRPr="00CB54B3" w14:paraId="31454838" w14:textId="77777777" w:rsidTr="00226A49">
        <w:trPr>
          <w:trHeight w:val="3653"/>
        </w:trPr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14"/>
              </w:rPr>
              <w:t>课程简介和目标：</w:t>
            </w:r>
          </w:p>
          <w:p>
            <w:r>
              <w:rPr>
                <w:rFonts w:ascii="宋体" w:hAnsi="宋体" w:eastAsia="宋体"/>
                <w:sz w:val="14"/>
              </w:rPr>
              <w:t>《大模型推理系统与实践》面向计算机相关专业硕士研究生，围绕大模型在线推理系统的基本机制、工程实现和实验验证展开实践教学。课程以 vLLM-HUST / vLLM-Ascend-HUST 等开源推理系统为主要实践对象，组织学生完成问题复现、代码阅读、功能修复、性能评测、测试验证和 PR 说明等训练。课程内容覆盖请求生命周期、Prefill/Decode、连续批处理、KV Cache、状态管理、请求调度、异构硬件适配和性能评价，并结合 BidKV 等研究案例，帮助学生理解推理系统从服务接口到执行路径的主要环节。</w:t>
            </w:r>
          </w:p>
          <w:p>
            <w:r>
              <w:rPr>
                <w:rFonts w:ascii="宋体" w:hAnsi="宋体" w:eastAsia="宋体"/>
                <w:sz w:val="14"/>
              </w:rPr>
            </w:r>
          </w:p>
          <w:p>
            <w:r>
              <w:rPr>
                <w:rFonts w:ascii="宋体" w:hAnsi="宋体" w:eastAsia="宋体"/>
                <w:sz w:val="14"/>
              </w:rPr>
              <w:t>整体授课思路：</w:t>
            </w:r>
          </w:p>
          <w:p>
            <w:r>
              <w:rPr>
                <w:rFonts w:ascii="宋体" w:hAnsi="宋体" w:eastAsia="宋体"/>
                <w:sz w:val="14"/>
              </w:rPr>
              <w:t>课程按“系统概念导入、代码路径阅读、实验复现训练、开源任务实践、结果汇报评审”的顺序组织。前半部分用讲授和代码导读建立必要概念；中段通过 vLLM-HUST 代码阅读、smoke test 和 benchmark 示例训练学生把概念对应到具体模块、配置和日志；后半部分以小组项目为主，每组围绕一个明确的 issue、benchmark 缺口、文档改进或小型功能修复开展实践。课程评价关注过程记录和可复现性，不以性能提升幅度作为唯一标准。</w:t>
            </w:r>
          </w:p>
          <w:p>
            <w:r>
              <w:rPr>
                <w:rFonts w:ascii="宋体" w:hAnsi="宋体" w:eastAsia="宋体"/>
                <w:sz w:val="14"/>
              </w:rPr>
            </w:r>
          </w:p>
          <w:p>
            <w:r>
              <w:rPr>
                <w:rFonts w:ascii="宋体" w:hAnsi="宋体" w:eastAsia="宋体"/>
                <w:sz w:val="14"/>
              </w:rPr>
              <w:t>课程目标：</w:t>
            </w:r>
          </w:p>
          <w:p>
            <w:r>
              <w:rPr>
                <w:rFonts w:ascii="宋体" w:hAnsi="宋体" w:eastAsia="宋体"/>
                <w:sz w:val="14"/>
              </w:rPr>
              <w:t>1. 理解大模型推理系统的基本组成、请求执行流程和关键性能指标，能够解释 TTFT、TPOT、吞吐、尾延迟、显存/内存占用等指标之间的关系。</w:t>
            </w:r>
          </w:p>
          <w:p>
            <w:r>
              <w:rPr>
                <w:rFonts w:ascii="宋体" w:hAnsi="宋体" w:eastAsia="宋体"/>
                <w:sz w:val="14"/>
              </w:rPr>
              <w:t>2. 掌握连续批处理、PagedAttention、KV Cache、Prefix Reuse、请求调度和状态管理等核心技术，能够分析不同工作负载下的系统瓶颈。</w:t>
            </w:r>
          </w:p>
          <w:p>
            <w:r>
              <w:rPr>
                <w:rFonts w:ascii="宋体" w:hAnsi="宋体" w:eastAsia="宋体"/>
                <w:sz w:val="14"/>
              </w:rPr>
              <w:t>3. 具备基于 vLLM-HUST 开源仓库开展开发实践的能力，包括搭建环境、复现问题、定位代码路径、补充测试和分析 CI / benchmark 结果。</w:t>
            </w:r>
          </w:p>
          <w:p>
            <w:r>
              <w:rPr>
                <w:rFonts w:ascii="宋体" w:hAnsi="宋体" w:eastAsia="宋体"/>
                <w:sz w:val="14"/>
              </w:rPr>
              <w:t>4. 通过课程项目完成一次有记录、可复现、可评审的实践任务，形式包括修复 issue、补充 workload、改进 benchmark、完善文档、优化调度/KV cache/异构后端路径，或提交 PR / patch。</w:t>
            </w:r>
          </w:p>
          <w:p>
            <w:r>
              <w:rPr>
                <w:rFonts w:ascii="宋体" w:hAnsi="宋体" w:eastAsia="宋体"/>
                <w:sz w:val="14"/>
              </w:rPr>
              <w:t>5. 理解开源协作、工程规范、科研诚信、许可证合规和数据合规要求，形成面向异构算力平台开展系统软件实践的基本能力。</w:t>
            </w:r>
          </w:p>
          <w:p>
            <w:r>
              <w:rPr>
                <w:rFonts w:ascii="宋体" w:hAnsi="宋体" w:eastAsia="宋体"/>
                <w:sz w:val="14"/>
              </w:rPr>
            </w:r>
          </w:p>
          <w:p>
            <w:r>
              <w:rPr>
                <w:rFonts w:ascii="宋体" w:hAnsi="宋体" w:eastAsia="宋体"/>
                <w:sz w:val="14"/>
              </w:rPr>
              <w:t>课程组织与考核：</w:t>
            </w:r>
          </w:p>
          <w:p>
            <w:r>
              <w:rPr>
                <w:rFonts w:ascii="宋体" w:hAnsi="宋体" w:eastAsia="宋体"/>
                <w:sz w:val="14"/>
              </w:rPr>
              <w:t>授课方式包括讲授、代码导读、实验演示、小组实践、阶段检查和项目汇报。学生 2-3 人一组，每组认领一个可完成的实践任务。考核方式为考查，建议成绩构成为：课堂参与与阅读练习 20%，实验复现与过程记录 30%，课程项目 PR / patch / benchmark 数据 30%，期末汇报与总结报告 20%。</w:t>
            </w:r>
          </w:p>
          <w:p>
            <w:r>
              <w:rPr>
                <w:rFonts w:ascii="宋体" w:hAnsi="宋体" w:eastAsia="宋体"/>
                <w:sz w:val="14"/>
              </w:rPr>
            </w:r>
          </w:p>
          <w:p>
            <w:r>
              <w:rPr>
                <w:rFonts w:ascii="宋体" w:hAnsi="宋体" w:eastAsia="宋体"/>
                <w:sz w:val="14"/>
              </w:rPr>
              <w:t>课程大纲及学时分配（含课程思政内容）：</w:t>
            </w:r>
          </w:p>
          <w:p>
            <w:r>
              <w:rPr>
                <w:rFonts w:ascii="宋体" w:hAnsi="宋体" w:eastAsia="宋体"/>
                <w:sz w:val="14"/>
              </w:rPr>
              <w:t>1. 课程导论与大模型推理系统概览（1 学时）：介绍应用场景、系统边界、开源生态和实践要求。课程思政：强调开源协作、工程伦理和基础软件实践中的责任意识。</w:t>
            </w:r>
          </w:p>
          <w:p>
            <w:r>
              <w:rPr>
                <w:rFonts w:ascii="宋体" w:hAnsi="宋体" w:eastAsia="宋体"/>
                <w:sz w:val="14"/>
              </w:rPr>
              <w:t>2. 工作负载与性能评价指标（1 学时）：讲解在线服务、吞吐测试、长上下文、多轮对话、代码生成、Agent 和视觉语言任务等典型负载，介绍 TTFT、TPOT、吞吐、尾延迟和资源利用率。</w:t>
            </w:r>
          </w:p>
          <w:p>
            <w:r>
              <w:rPr>
                <w:rFonts w:ascii="宋体" w:hAnsi="宋体" w:eastAsia="宋体"/>
                <w:sz w:val="14"/>
              </w:rPr>
              <w:t>3. 请求生命周期与执行路径（1 学时）：分析 tokenizer、调度、prefill、decode、sampling、streaming output 等执行环节，结合日志和最小运行示例观察执行路径。</w:t>
            </w:r>
          </w:p>
          <w:p>
            <w:r>
              <w:rPr>
                <w:rFonts w:ascii="宋体" w:hAnsi="宋体" w:eastAsia="宋体"/>
                <w:sz w:val="14"/>
              </w:rPr>
              <w:t>4. 请求调度与连续批处理（1 学时）：讲解 continuous batching、队列管理、抢占、恢复和公平性，穿插 KV 压力下的调度案例。</w:t>
            </w:r>
          </w:p>
          <w:p>
            <w:r>
              <w:rPr>
                <w:rFonts w:ascii="宋体" w:hAnsi="宋体" w:eastAsia="宋体"/>
                <w:sz w:val="14"/>
              </w:rPr>
              <w:t>5. KV Cache 与状态组织（1 学时）：讲解 KV Cache 的结构、block 管理、PagedAttention、显存压力和 prefix reuse，分析长上下文场景下的状态保留与复用。</w:t>
            </w:r>
          </w:p>
          <w:p>
            <w:r>
              <w:rPr>
                <w:rFonts w:ascii="宋体" w:hAnsi="宋体" w:eastAsia="宋体"/>
                <w:sz w:val="14"/>
              </w:rPr>
              <w:t>6. 状态管理与记忆组织（1 学时）：讨论多级记忆、状态迁移、一致性读写、上下文缓存和向量记忆，为后续系统实践建立统一视角。</w:t>
            </w:r>
          </w:p>
          <w:p>
            <w:r>
              <w:rPr>
                <w:rFonts w:ascii="宋体" w:hAnsi="宋体" w:eastAsia="宋体"/>
                <w:sz w:val="14"/>
              </w:rPr>
              <w:t>7. 推理系统架构与 vLLM-HUST 代码阅读（1 学时）：阅读 scheduler、worker、executor、attention backend 和服务接口等关键模块，指导学生选择实践任务。</w:t>
            </w:r>
          </w:p>
          <w:p>
            <w:r>
              <w:rPr>
                <w:rFonts w:ascii="宋体" w:hAnsi="宋体" w:eastAsia="宋体"/>
                <w:sz w:val="14"/>
              </w:rPr>
              <w:t>8. 执行优化与异构路径（1 学时）：介绍图捕获、kernel backend、算子 fallback、通信与内存瓶颈，讨论 GPU/NPU 等异构平台上的执行差异。</w:t>
            </w:r>
          </w:p>
          <w:p>
            <w:r>
              <w:rPr>
                <w:rFonts w:ascii="宋体" w:hAnsi="宋体" w:eastAsia="宋体"/>
                <w:sz w:val="14"/>
              </w:rPr>
              <w:t>9. 国产异构平台适配实践（1 学时）：结合 Ascend/NPU 后端，讲解依赖版本、torch-npu/CANN、benchmark 环境记录和 CI 检查。课程思政：引导学生理解国产算力平台软件适配和工程规范的重要性。</w:t>
            </w:r>
          </w:p>
          <w:p>
            <w:r>
              <w:rPr>
                <w:rFonts w:ascii="宋体" w:hAnsi="宋体" w:eastAsia="宋体"/>
                <w:sz w:val="14"/>
              </w:rPr>
              <w:t>10. 论文比较方法与系统研究问题抽象（1 学时）：讲解如何从系统现象中抽象问题，如何比较 baseline、ablation 和 workload，避免参数不一致导致的错误结论。</w:t>
            </w:r>
          </w:p>
          <w:p>
            <w:r>
              <w:rPr>
                <w:rFonts w:ascii="宋体" w:hAnsi="宋体" w:eastAsia="宋体"/>
                <w:sz w:val="14"/>
              </w:rPr>
              <w:t>11. 实验方法与可复现验证（1 学时）：讲解实验矩阵设计、metadata 记录、性能折线分析、异常点诊断和报告撰写规范，要求学生按 vLLM-HUST benchmark 格式整理实验数据。</w:t>
            </w:r>
          </w:p>
          <w:p>
            <w:r>
              <w:rPr>
                <w:rFonts w:ascii="宋体" w:hAnsi="宋体" w:eastAsia="宋体"/>
                <w:sz w:val="14"/>
              </w:rPr>
              <w:t>12. vLLM-HUST 开源开发与 PR 工作流（1 学时）：介绍 issue 认领、分支管理、代码风格、单元测试、CI、benchmark、review、PR 说明和实验数据提交规范。</w:t>
            </w:r>
          </w:p>
          <w:p>
            <w:r>
              <w:rPr>
                <w:rFonts w:ascii="宋体" w:hAnsi="宋体" w:eastAsia="宋体"/>
                <w:sz w:val="14"/>
              </w:rPr>
              <w:t>13. vLLM-HUST 课程项目工作坊（2 学时）：学生围绕调度、KV Cache、benchmark、异构适配、长上下文优化、文档完善或 CI 修复选题，完成 issue 分析、方案设计、代码修改、实验计划和阶段汇报。</w:t>
            </w:r>
          </w:p>
          <w:p>
            <w:r>
              <w:rPr>
                <w:rFonts w:ascii="宋体" w:hAnsi="宋体" w:eastAsia="宋体"/>
                <w:sz w:val="14"/>
              </w:rPr>
              <w:t>14. PR 汇报与课程总结（2 学时）：学生展示课程项目结果，说明对应 issue/PR、代码修改、测试结果、benchmark 数据、review 反馈和后续改进方向，提交课程总结报告。</w:t>
            </w:r>
          </w:p>
          <w:p>
            <w:r>
              <w:rPr>
                <w:rFonts w:ascii="宋体" w:hAnsi="宋体" w:eastAsia="宋体"/>
                <w:sz w:val="14"/>
              </w:rPr>
              <w:t>合计：16 学时。</w:t>
            </w:r>
          </w:p>
          <w:p>
            <w:r>
              <w:rPr>
                <w:rFonts w:ascii="宋体" w:hAnsi="宋体" w:eastAsia="宋体"/>
                <w:sz w:val="14"/>
              </w:rPr>
            </w:r>
          </w:p>
          <w:p>
            <w:r>
              <w:rPr>
                <w:rFonts w:ascii="宋体" w:hAnsi="宋体" w:eastAsia="宋体"/>
                <w:sz w:val="14"/>
              </w:rPr>
              <w:t>实践教学组织方式：</w:t>
            </w:r>
          </w:p>
          <w:p>
            <w:r>
              <w:rPr>
                <w:rFonts w:ascii="宋体" w:hAnsi="宋体" w:eastAsia="宋体"/>
                <w:sz w:val="14"/>
              </w:rPr>
              <w:t>任务来源优先来自 vLLM-HUST、vLLM-Ascend-HUST、vLLM-HUST benchmark、dev-hub 等仓库的 issue、PR 需求、benchmark 缺口和文档改进任务。每组需提交 issue 分析、代码路径说明、实验脚本、测试结果、PR 链接或 patch、review 处理记录。鼓励提交可合入 PR；若受硬件排队、上游 review 周期或任务复杂度限制，也可提交完整 patch、benchmark 数据和复现实验文档。评价重点包括流程规范、代码与实验可复现、问题解释清楚、遵守开源协作和工程规范。</w:t>
            </w:r>
          </w:p>
          <w:p>
            <w:r>
              <w:rPr>
                <w:rFonts w:ascii="宋体" w:hAnsi="宋体" w:eastAsia="宋体"/>
                <w:sz w:val="14"/>
              </w:rPr>
            </w:r>
          </w:p>
          <w:p>
            <w:r>
              <w:rPr>
                <w:rFonts w:ascii="宋体" w:hAnsi="宋体" w:eastAsia="宋体"/>
                <w:sz w:val="14"/>
              </w:rPr>
              <w:t>场地、设备与环境需求：</w:t>
            </w:r>
          </w:p>
          <w:p>
            <w:r>
              <w:rPr>
                <w:rFonts w:ascii="宋体" w:hAnsi="宋体" w:eastAsia="宋体"/>
                <w:sz w:val="14"/>
              </w:rPr>
              <w:t>1. 授课场地：普通研究生机房或具备投影、网络和电源的研讨教室；项目工作坊和汇报环节建议使用可分组讨论的教室。</w:t>
            </w:r>
          </w:p>
          <w:p>
            <w:r>
              <w:rPr>
                <w:rFonts w:ascii="宋体" w:hAnsi="宋体" w:eastAsia="宋体"/>
                <w:sz w:val="14"/>
              </w:rPr>
              <w:t>2. 学生端设备：学生需自备笔记本电脑，能够运行 Linux、macOS 或 Windows + WSL2 环境，具备 Git、Python、Docker 或 Conda 等基本开发工具。</w:t>
            </w:r>
          </w:p>
          <w:p>
            <w:r>
              <w:rPr>
                <w:rFonts w:ascii="宋体" w:hAnsi="宋体" w:eastAsia="宋体"/>
                <w:sz w:val="14"/>
              </w:rPr>
              <w:t>3. 网络条件：需要可访问 GitHub、Python / npm / container 镜像源和课程代码仓库的校园网络；如网络访问受限，需提供校内镜像或预下载依赖包。</w:t>
            </w:r>
          </w:p>
          <w:p>
            <w:r>
              <w:rPr>
                <w:rFonts w:ascii="宋体" w:hAnsi="宋体" w:eastAsia="宋体"/>
                <w:sz w:val="14"/>
              </w:rPr>
              <w:t>4. 课程代码环境：使用 vLLM-HUST、vLLM-Ascend-HUST、vLLM-HUST benchmark、dev-hub 等仓库；课程开始前提供环境配置说明、基础 smoke test 和示例任务清单。</w:t>
            </w:r>
          </w:p>
          <w:p>
            <w:r>
              <w:rPr>
                <w:rFonts w:ascii="宋体" w:hAnsi="宋体" w:eastAsia="宋体"/>
                <w:sz w:val="14"/>
              </w:rPr>
              <w:t>5. 计算资源：基础代码阅读、单元测试、文档改进和小规模 benchmark 可在学生本机或通用 Linux 服务器完成；涉及 Ascend/NPU 后端、较大模型或多卡 benchmark 的任务需使用课题组或学院提供的共享服务器。</w:t>
            </w:r>
          </w:p>
          <w:p>
            <w:r>
              <w:rPr>
                <w:rFonts w:ascii="宋体" w:hAnsi="宋体" w:eastAsia="宋体"/>
                <w:sz w:val="14"/>
              </w:rPr>
              <w:t>6. 硬件需求：建议准备至少一台可远程访问的 Linux 服务器用于统一实验环境；如安排异构后端实践，需要具备 Ascend NPU 及对应 CANN、torch-npu、驱动和容器环境。多卡性能实验可作为选做或小组专项任务，按硬件排队情况安排。</w:t>
            </w:r>
          </w:p>
          <w:p>
            <w:r>
              <w:rPr>
                <w:rFonts w:ascii="宋体" w:hAnsi="宋体" w:eastAsia="宋体"/>
                <w:sz w:val="14"/>
              </w:rPr>
              <w:t>7. 账号与安全：服务器任务采用个人账号或小组账号，限定目录和配额；不得使用未经授权的数据、密钥或内部服务日志；长时间 benchmark 需提前预约并记录实验时间、命令、资源占用和输出位置。</w:t>
            </w:r>
          </w:p>
        </w:tc>
      </w:tr>
      <w:tr w:rsidR="00C56E7F" w:rsidRPr="00CB54B3" w14:paraId="67CE6E01" w14:textId="77777777" w:rsidTr="00226A49"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17"/>
              </w:rPr>
              <w:t>使用教材：</w:t>
            </w:r>
          </w:p>
          <w:p>
            <w:r>
              <w:rPr>
                <w:rFonts w:ascii="宋体" w:hAnsi="宋体" w:eastAsia="宋体"/>
                <w:sz w:val="17"/>
              </w:rPr>
              <w:t>本课程采用自编讲义、实验单、tutorial 和开源系统资料，包括《大模型推理系统与实践》课程讲义、vLLM-HUST / vLLM-Ascend-HUST / vLLM-HUST benchmark / dev-hub 仓库文档、issue/PR 示例、CI 与 benchmark 记录，以及 vLLM / vLLM-Ascend 等公开资料。</w:t>
            </w:r>
          </w:p>
        </w:tc>
      </w:tr>
      <w:tr w:rsidR="00C56E7F" w:rsidRPr="00CB54B3" w14:paraId="14F51FE4" w14:textId="77777777" w:rsidTr="00226A49"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17"/>
              </w:rPr>
              <w:t>主要参考书目：</w:t>
            </w:r>
          </w:p>
          <w:p>
            <w:r>
              <w:rPr>
                <w:rFonts w:ascii="宋体" w:hAnsi="宋体" w:eastAsia="宋体"/>
                <w:sz w:val="17"/>
              </w:rPr>
              <w:t>1. vLLM-HUST Organization. vLLM-HUST, vLLM-Ascend-HUST, Benchmark and Dev-Hub repositories.</w:t>
            </w:r>
          </w:p>
          <w:p>
            <w:r>
              <w:rPr>
                <w:rFonts w:ascii="宋体" w:hAnsi="宋体" w:eastAsia="宋体"/>
                <w:sz w:val="17"/>
              </w:rPr>
              <w:t>2. vLLM Project. vLLM Documentation and Source Code. https://github.com/vllm-project/vllm</w:t>
            </w:r>
          </w:p>
          <w:p>
            <w:r>
              <w:rPr>
                <w:rFonts w:ascii="宋体" w:hAnsi="宋体" w:eastAsia="宋体"/>
                <w:sz w:val="17"/>
              </w:rPr>
              <w:t>3. vLLM-Ascend Project. vLLM Ascend Documentation and Source Code. https://github.com/vllm-project/vllm-ascend</w:t>
            </w:r>
          </w:p>
          <w:p>
            <w:r>
              <w:rPr>
                <w:rFonts w:ascii="宋体" w:hAnsi="宋体" w:eastAsia="宋体"/>
                <w:sz w:val="17"/>
              </w:rPr>
              <w:t>4. Kwon et al. Efficient Memory Management for Large Language Model Serving with PagedAttention. SOSP 2023.</w:t>
            </w:r>
          </w:p>
          <w:p>
            <w:r>
              <w:rPr>
                <w:rFonts w:ascii="宋体" w:hAnsi="宋体" w:eastAsia="宋体"/>
                <w:sz w:val="17"/>
              </w:rPr>
              <w:t>5. Chen, Wang, Zhang, Liao, Jin. BidKV: Utility-Guided Preemption Scheduling for KV-Pressure LLM Serving. SC 2026.</w:t>
            </w:r>
          </w:p>
          <w:p>
            <w:r>
              <w:rPr>
                <w:rFonts w:ascii="宋体" w:hAnsi="宋体" w:eastAsia="宋体"/>
                <w:sz w:val="17"/>
              </w:rPr>
              <w:t>6. Dao et al. FlashAttention: Fast and Memory-Efficient Exact Attention with IO-Awareness. NeurIPS 2022.</w:t>
            </w:r>
          </w:p>
          <w:p>
            <w:r>
              <w:rPr>
                <w:rFonts w:ascii="宋体" w:hAnsi="宋体" w:eastAsia="宋体"/>
                <w:sz w:val="17"/>
              </w:rPr>
              <w:t>7. Hugging Face. Text Generation Inference Documentation and Source Code.</w:t>
            </w:r>
          </w:p>
          <w:p>
            <w:r>
              <w:rPr>
                <w:rFonts w:ascii="宋体" w:hAnsi="宋体" w:eastAsia="宋体"/>
                <w:sz w:val="17"/>
              </w:rPr>
              <w:t>8. NVIDIA Triton Inference Server Documentation; Ascend CANN / torch-npu public documentation.</w:t>
            </w:r>
          </w:p>
          <w:p>
            <w:r>
              <w:rPr>
                <w:rFonts w:ascii="宋体" w:hAnsi="宋体" w:eastAsia="宋体"/>
                <w:sz w:val="17"/>
              </w:rPr>
              <w:t>9. 课程补充案例材料：benchmark 异常分析、prefix reuse、异构后端适配、开源 PR 工作流等。</w:t>
            </w:r>
          </w:p>
        </w:tc>
      </w:tr>
      <w:tr w:rsidR="00C56E7F" w:rsidRPr="00CB54B3" w14:paraId="588CD5EF" w14:textId="77777777" w:rsidTr="00226A49"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17"/>
              </w:rPr>
              <w:t>【说明课程内容的意识形态审核情况、授课教师的师德师风表现等】</w:t>
            </w:r>
          </w:p>
          <w:p>
            <w:r>
              <w:rPr>
                <w:rFonts w:ascii="宋体" w:hAnsi="宋体" w:eastAsia="宋体"/>
                <w:sz w:val="17"/>
              </w:rPr>
              <w:t>本课程内容聚焦大模型推理系统、开源基础软件、国产异构算力平台适配和工程实践方法，课程材料主要来源于公开论文、开源社区文档和授课教师团队的公开研究成果，不含违反国家法律法规、意识形态要求和学校教学管理规定的内容。课程实践将要求学生遵守科研诚信、开源许可证、数据合规、工程伦理和协作规范，在代码修改、实验记录和结果报告中保持可追溯、可复现。授课教师张书豪为华中科技大学计算机科学与技术学院教授，长期从事并行分布式系统、大模型推理基础设施、状态管理与异构计算系统研究，具有相关课程建设、科研指导和开源系统实践经验，能够胜任本课程教学工作。</w:t>
            </w:r>
          </w:p>
          <w:p>
            <w:r>
              <w:rPr>
                <w:rFonts w:ascii="宋体" w:hAnsi="宋体" w:eastAsia="宋体"/>
                <w:sz w:val="17"/>
              </w:rPr>
            </w:r>
          </w:p>
          <w:p>
            <w:r>
              <w:rPr>
                <w:rFonts w:ascii="宋体" w:hAnsi="宋体" w:eastAsia="宋体"/>
                <w:sz w:val="17"/>
              </w:rPr>
              <w:t>院系负责人：</w:t>
            </w:r>
          </w:p>
          <w:p>
            <w:r>
              <w:rPr>
                <w:rFonts w:ascii="宋体" w:hAnsi="宋体" w:eastAsia="宋体"/>
                <w:sz w:val="17"/>
              </w:rPr>
              <w:t>院系（公章）：</w:t>
            </w:r>
          </w:p>
          <w:p>
            <w:r>
              <w:rPr>
                <w:rFonts w:ascii="宋体" w:hAnsi="宋体" w:eastAsia="宋体"/>
                <w:sz w:val="17"/>
              </w:rPr>
              <w:t xml:space="preserve">        年     月     日</w:t>
            </w:r>
          </w:p>
        </w:tc>
      </w:tr>
      <w:tr w:rsidR="00C56E7F" w:rsidRPr="00CB54B3" w14:paraId="4099BC9B" w14:textId="77777777" w:rsidTr="00226A49">
        <w:tc>
          <w:tcPr>
            <w:tcW w:w="8531" w:type="dxa"/>
            <w:gridSpan w:val="6"/>
            <w:vAlign w:val="center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sz w:val="17"/>
              </w:rPr>
              <w:t>学位评定分委会意见：【说明课程开设的必要性、对人才培养的支撑作用等】</w:t>
            </w:r>
          </w:p>
          <w:p>
            <w:r>
              <w:rPr>
                <w:rFonts w:ascii="宋体" w:hAnsi="宋体" w:eastAsia="宋体"/>
                <w:sz w:val="17"/>
              </w:rPr>
              <w:t>大模型推理系统是人工智能应用部署中的重要基础软件方向，相关人才需要具备系统软件、异构计算、性能评价和开源工程实践能力。开设《大模型推理系统与实践》课程，有助于完善专业学位研究生在人工智能系统方向的实践教学体系。课程以 vLLM-HUST 相关开发任务为实践对象，要求学生参与问题复现、代码修改、benchmark 补充、CI 验证和项目汇报，能够支撑学生面向实际系统开展工程实现与性能分析。本课程目标清晰、内容符合专业学位实践教学要求，与计算机专业学位研究生培养目标契合，建议纳入研究生课程体系。</w:t>
            </w:r>
          </w:p>
          <w:p>
            <w:r>
              <w:rPr>
                <w:rFonts w:ascii="宋体" w:hAnsi="宋体" w:eastAsia="宋体"/>
                <w:sz w:val="17"/>
              </w:rPr>
            </w:r>
          </w:p>
          <w:p>
            <w:r>
              <w:rPr>
                <w:rFonts w:ascii="宋体" w:hAnsi="宋体" w:eastAsia="宋体"/>
                <w:sz w:val="17"/>
              </w:rPr>
              <w:t>签名（学位评定分委会主席）：</w:t>
            </w:r>
          </w:p>
          <w:p>
            <w:r>
              <w:rPr>
                <w:rFonts w:ascii="宋体" w:hAnsi="宋体" w:eastAsia="宋体"/>
                <w:sz w:val="17"/>
              </w:rPr>
              <w:t xml:space="preserve">        年     月     日</w:t>
            </w:r>
          </w:p>
        </w:tc>
      </w:tr>
    </w:tbl>
    <w:p w14:paraId="48C8A78D" w14:textId="77777777" w:rsidR="00404CB3" w:rsidRPr="00C56E7F" w:rsidRDefault="00404CB3"/>
    <w:sectPr w:rsidR="00404CB3" w:rsidRPr="00C56E7F">
      <w:pgSz w:w="11906" w:h="16838"/>
      <w:pgMar w:top="1020" w:right="1020" w:bottom="907" w:left="10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C4936" w14:textId="77777777" w:rsidR="002D1590" w:rsidRDefault="002D1590" w:rsidP="00C56E7F">
      <w:r>
        <w:separator/>
      </w:r>
    </w:p>
  </w:endnote>
  <w:endnote w:type="continuationSeparator" w:id="0">
    <w:p w14:paraId="0F996AEE" w14:textId="77777777" w:rsidR="002D1590" w:rsidRDefault="002D1590" w:rsidP="00C56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2A87" w:usb1="080E0000" w:usb2="00000010" w:usb3="00000000" w:csb0="0004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21833" w14:textId="77777777" w:rsidR="002D1590" w:rsidRDefault="002D1590" w:rsidP="00C56E7F">
      <w:r>
        <w:separator/>
      </w:r>
    </w:p>
  </w:footnote>
  <w:footnote w:type="continuationSeparator" w:id="0">
    <w:p w14:paraId="7B9CE254" w14:textId="77777777" w:rsidR="002D1590" w:rsidRDefault="002D1590" w:rsidP="00C56E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12277"/>
    <w:multiLevelType w:val="multilevel"/>
    <w:tmpl w:val="0F21227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47B"/>
    <w:rsid w:val="00073628"/>
    <w:rsid w:val="00231912"/>
    <w:rsid w:val="002D1590"/>
    <w:rsid w:val="00404CB3"/>
    <w:rsid w:val="00406228"/>
    <w:rsid w:val="0064280E"/>
    <w:rsid w:val="00670BB8"/>
    <w:rsid w:val="006A16EA"/>
    <w:rsid w:val="008735CA"/>
    <w:rsid w:val="009A75CB"/>
    <w:rsid w:val="009C5631"/>
    <w:rsid w:val="00A5631A"/>
    <w:rsid w:val="00B377FD"/>
    <w:rsid w:val="00B85076"/>
    <w:rsid w:val="00BE5CAA"/>
    <w:rsid w:val="00C56E7F"/>
    <w:rsid w:val="00C74420"/>
    <w:rsid w:val="00CF1F7E"/>
    <w:rsid w:val="00D0647B"/>
    <w:rsid w:val="00DB5949"/>
    <w:rsid w:val="00EA6262"/>
    <w:rsid w:val="00EC5F4A"/>
    <w:rsid w:val="00F15256"/>
    <w:rsid w:val="00FA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6B8DDC"/>
  <w15:chartTrackingRefBased/>
  <w15:docId w15:val="{AB007EF9-25AC-403E-93F4-B325DF53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E7F"/>
    <w:pPr>
      <w:jc w:val="both"/>
    </w:pPr>
    <w:rPr>
      <w:rFonts w:ascii="仿宋" w:eastAsia="仿宋" w:hAnsi="仿宋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6E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6E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6E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6E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芳</cp:lastModifiedBy>
  <cp:revision>3</cp:revision>
  <dcterms:created xsi:type="dcterms:W3CDTF">2026-07-01T06:45:00Z</dcterms:created>
  <dcterms:modified xsi:type="dcterms:W3CDTF">2026-07-01T06:49:00Z</dcterms:modified>
</cp:coreProperties>
</file>