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MidYearTitle"/>
      </w:pPr>
      <w:r>
        <w:rPr>
          <w:rFonts w:ascii="Times New Roman" w:hAnsi="Times New Roman"/>
          <w:b/>
          <w:sz w:val="36"/>
        </w:rPr>
        <w:t>CFD Analysis of a Geothermal Steam-Water Separator:</w:t>
        <w:br/>
        <w:t>Spiral-Inlet Reconstruction, DPM Tracking and Wall-Film Sensitivity</w:t>
      </w:r>
    </w:p>
    <w:p>
      <w:pPr>
        <w:pStyle w:val="BodyText"/>
        <w:spacing w:after="100"/>
        <w:jc w:val="center"/>
      </w:pPr>
      <w:r>
        <w:rPr>
          <w:rFonts w:ascii="Times New Roman" w:hAnsi="Times New Roman"/>
          <w:i/>
          <w:sz w:val="19"/>
        </w:rPr>
        <w:t>Technical results from controlled ANSYS Fluent simulations and automated PyFluent post-processing</w:t>
      </w:r>
    </w:p>
    <w:p>
      <w:pPr>
        <w:pStyle w:val="Heading1"/>
      </w:pPr>
      <w:r>
        <w:t>Numerical model and automated workflow</w:t>
      </w:r>
    </w:p>
    <w:p>
      <w:pPr>
        <w:pStyle w:val="BodyText"/>
        <w:keepLines w:val="0"/>
      </w:pPr>
      <w:r>
        <w:rPr>
          <w:rFonts w:ascii="Times New Roman" w:hAnsi="Times New Roman"/>
          <w:sz w:val="21"/>
        </w:rPr>
        <w:t>The study used staged CFD comparisons to quantify liquid carryover in a vertical bottom-outlet cyclone separator [2]. The first model family reconstructed six operating conditions from Purnanto et al. (2013) on the available rectangular 90° spiral-inlet geometry [1]. Because the paper does not publish CAD-ready scroll geometry or its exact nine-injection table, this is a controlled reconstruction rather than an exact duplicate. A second family introduced split steam-liquid inlet and Eulerian wall-film (EWF) treatments to isolate model-form sensitivity.</w:t>
      </w:r>
    </w:p>
    <w:p>
      <w:pPr>
        <w:pStyle w:val="Caption"/>
        <w:keepNext/>
        <w:spacing w:before="40" w:after="80"/>
      </w:pPr>
      <w:r>
        <w:rPr>
          <w:rFonts w:ascii="Times New Roman" w:hAnsi="Times New Roman"/>
          <w:sz w:val="18"/>
        </w:rPr>
        <w:t>Table 1. Principal numerical settings and controlled model differences.</w:t>
      </w:r>
    </w:p>
    <w:tbl>
      <w:tblPr>
        <w:tblStyle w:val="TableGrid"/>
        <w:tblW w:type="dxa" w:w="9100"/>
        <w:jc w:val="center"/>
        <w:tblLayout w:type="fixed"/>
        <w:tblLook w:firstColumn="1" w:firstRow="1" w:lastColumn="0" w:lastRow="0" w:noHBand="0" w:noVBand="1" w:val="04A0"/>
        <w:tblInd w:w="90" w:type="dxa"/>
      </w:tblPr>
      <w:tblGrid>
        <w:gridCol w:w="1900"/>
        <w:gridCol w:w="3600"/>
        <w:gridCol w:w="3600"/>
      </w:tblGrid>
      <w:tr>
        <w:trPr>
          <w:tblHeader/>
        </w:trPr>
        <w:tc>
          <w:tcPr>
            <w:tcW w:type="dxa" w:w="1900"/>
            <w:shd w:fill="D9EAF4"/>
            <w:vAlign w:val="center"/>
            <w:tcMar>
              <w:top w:w="70" w:type="dxa"/>
              <w:start w:w="90" w:type="dxa"/>
              <w:bottom w:w="70" w:type="dxa"/>
              <w:end w:w="90" w:type="dxa"/>
            </w:tcMar>
          </w:tcPr>
          <w:p>
            <w:pPr>
              <w:spacing w:after="0"/>
              <w:jc w:val="left"/>
            </w:pPr>
            <w:r>
              <w:rPr>
                <w:rFonts w:ascii="Times New Roman" w:hAnsi="Times New Roman"/>
                <w:b/>
                <w:sz w:val="15"/>
              </w:rPr>
              <w:t>Item</w:t>
            </w:r>
          </w:p>
        </w:tc>
        <w:tc>
          <w:tcPr>
            <w:tcW w:type="dxa" w:w="3600"/>
            <w:shd w:fill="D9EAF4"/>
            <w:vAlign w:val="center"/>
            <w:tcMar>
              <w:top w:w="70" w:type="dxa"/>
              <w:start w:w="90" w:type="dxa"/>
              <w:bottom w:w="70" w:type="dxa"/>
              <w:end w:w="90" w:type="dxa"/>
            </w:tcMar>
          </w:tcPr>
          <w:p>
            <w:pPr>
              <w:spacing w:after="0"/>
              <w:jc w:val="left"/>
            </w:pPr>
            <w:r>
              <w:rPr>
                <w:rFonts w:ascii="Times New Roman" w:hAnsi="Times New Roman"/>
                <w:b/>
                <w:sz w:val="15"/>
              </w:rPr>
              <w:t>Spiral-inlet reconstruction</w:t>
            </w:r>
          </w:p>
        </w:tc>
        <w:tc>
          <w:tcPr>
            <w:tcW w:type="dxa" w:w="3600"/>
            <w:shd w:fill="D9EAF4"/>
            <w:vAlign w:val="center"/>
            <w:tcMar>
              <w:top w:w="70" w:type="dxa"/>
              <w:start w:w="90" w:type="dxa"/>
              <w:bottom w:w="70" w:type="dxa"/>
              <w:end w:w="90" w:type="dxa"/>
            </w:tcMar>
          </w:tcPr>
          <w:p>
            <w:pPr>
              <w:spacing w:after="0"/>
              <w:jc w:val="left"/>
            </w:pPr>
            <w:r>
              <w:rPr>
                <w:rFonts w:ascii="Times New Roman" w:hAnsi="Times New Roman"/>
                <w:b/>
                <w:sz w:val="15"/>
              </w:rPr>
              <w:t>Split-inlet / EWF family</w:t>
            </w:r>
          </w:p>
        </w:tc>
      </w:tr>
      <w:tr>
        <w:tc>
          <w:tcPr>
            <w:tcW w:type="dxa" w:w="1900"/>
            <w:vAlign w:val="center"/>
            <w:tcMar>
              <w:top w:w="70" w:type="dxa"/>
              <w:start w:w="90" w:type="dxa"/>
              <w:bottom w:w="70" w:type="dxa"/>
              <w:end w:w="90" w:type="dxa"/>
            </w:tcMar>
          </w:tcPr>
          <w:p>
            <w:pPr>
              <w:spacing w:after="0" w:line="240" w:lineRule="auto"/>
              <w:jc w:val="left"/>
            </w:pPr>
            <w:r>
              <w:rPr>
                <w:rFonts w:ascii="Times New Roman" w:hAnsi="Times New Roman"/>
                <w:sz w:val="15"/>
              </w:rPr>
              <w:t>Mesh</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2,964,593 tetrahedral cells</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7,601,261 cells</w:t>
            </w:r>
          </w:p>
        </w:tc>
      </w:tr>
      <w:tr>
        <w:tc>
          <w:tcPr>
            <w:tcW w:type="dxa" w:w="1900"/>
            <w:vAlign w:val="center"/>
            <w:tcMar>
              <w:top w:w="70" w:type="dxa"/>
              <w:start w:w="90" w:type="dxa"/>
              <w:bottom w:w="70" w:type="dxa"/>
              <w:end w:w="90" w:type="dxa"/>
            </w:tcMar>
          </w:tcPr>
          <w:p>
            <w:pPr>
              <w:spacing w:after="0" w:line="240" w:lineRule="auto"/>
              <w:jc w:val="left"/>
            </w:pPr>
            <w:r>
              <w:rPr>
                <w:rFonts w:ascii="Times New Roman" w:hAnsi="Times New Roman"/>
                <w:sz w:val="15"/>
              </w:rPr>
              <w:t>Solver</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Steady, pressure based; Mixture model</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Steady, pressure based; Mixture + DPM/EWF</w:t>
            </w:r>
          </w:p>
        </w:tc>
      </w:tr>
      <w:tr>
        <w:tc>
          <w:tcPr>
            <w:tcW w:type="dxa" w:w="1900"/>
            <w:vAlign w:val="center"/>
            <w:tcMar>
              <w:top w:w="70" w:type="dxa"/>
              <w:start w:w="90" w:type="dxa"/>
              <w:bottom w:w="70" w:type="dxa"/>
              <w:end w:w="90" w:type="dxa"/>
            </w:tcMar>
          </w:tcPr>
          <w:p>
            <w:pPr>
              <w:spacing w:after="0" w:line="240" w:lineRule="auto"/>
              <w:jc w:val="left"/>
            </w:pPr>
            <w:r>
              <w:rPr>
                <w:rFonts w:ascii="Times New Roman" w:hAnsi="Times New Roman"/>
                <w:sz w:val="15"/>
              </w:rPr>
              <w:t>Turbulence</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RNG k-ε; standard wall functions</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RNG k-ε; standard wall functions</w:t>
            </w:r>
          </w:p>
        </w:tc>
      </w:tr>
      <w:tr>
        <w:tc>
          <w:tcPr>
            <w:tcW w:type="dxa" w:w="1900"/>
            <w:vAlign w:val="center"/>
            <w:tcMar>
              <w:top w:w="70" w:type="dxa"/>
              <w:start w:w="90" w:type="dxa"/>
              <w:bottom w:w="70" w:type="dxa"/>
              <w:end w:w="90" w:type="dxa"/>
            </w:tcMar>
          </w:tcPr>
          <w:p>
            <w:pPr>
              <w:spacing w:after="0" w:line="240" w:lineRule="auto"/>
              <w:jc w:val="left"/>
            </w:pPr>
            <w:r>
              <w:rPr>
                <w:rFonts w:ascii="Times New Roman" w:hAnsi="Times New Roman"/>
                <w:sz w:val="15"/>
              </w:rPr>
              <w:t>Thermal scope</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Energy disabled; no flashing</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Energy disabled; no flashing</w:t>
            </w:r>
          </w:p>
        </w:tc>
      </w:tr>
      <w:tr>
        <w:tc>
          <w:tcPr>
            <w:tcW w:type="dxa" w:w="1900"/>
            <w:vAlign w:val="center"/>
            <w:tcMar>
              <w:top w:w="70" w:type="dxa"/>
              <w:start w:w="90" w:type="dxa"/>
              <w:bottom w:w="70" w:type="dxa"/>
              <w:end w:w="90" w:type="dxa"/>
            </w:tcMar>
          </w:tcPr>
          <w:p>
            <w:pPr>
              <w:spacing w:after="0" w:line="240" w:lineRule="auto"/>
              <w:jc w:val="left"/>
            </w:pPr>
            <w:r>
              <w:rPr>
                <w:rFonts w:ascii="Times New Roman" w:hAnsi="Times New Roman"/>
                <w:sz w:val="15"/>
              </w:rPr>
              <w:t>Inlet</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Single two-phase mass-flow inlet</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Separate steam and liquid mass-flow regions</w:t>
            </w:r>
          </w:p>
        </w:tc>
      </w:tr>
      <w:tr>
        <w:tc>
          <w:tcPr>
            <w:tcW w:type="dxa" w:w="1900"/>
            <w:vAlign w:val="center"/>
            <w:tcMar>
              <w:top w:w="70" w:type="dxa"/>
              <w:start w:w="90" w:type="dxa"/>
              <w:bottom w:w="70" w:type="dxa"/>
              <w:end w:w="90" w:type="dxa"/>
            </w:tcMar>
          </w:tcPr>
          <w:p>
            <w:pPr>
              <w:spacing w:after="0" w:line="240" w:lineRule="auto"/>
              <w:jc w:val="left"/>
            </w:pPr>
            <w:r>
              <w:rPr>
                <w:rFonts w:ascii="Times New Roman" w:hAnsi="Times New Roman"/>
                <w:sz w:val="15"/>
              </w:rPr>
              <w:t>Outlet / lower boundary</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1.12 MPa pressure outlet / DPM trap</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Pressure outlet / closed lower wall</w:t>
            </w:r>
          </w:p>
        </w:tc>
      </w:tr>
      <w:tr>
        <w:tc>
          <w:tcPr>
            <w:tcW w:type="dxa" w:w="1900"/>
            <w:vAlign w:val="center"/>
            <w:tcMar>
              <w:top w:w="70" w:type="dxa"/>
              <w:start w:w="90" w:type="dxa"/>
              <w:bottom w:w="70" w:type="dxa"/>
              <w:end w:w="90" w:type="dxa"/>
            </w:tcMar>
          </w:tcPr>
          <w:p>
            <w:pPr>
              <w:spacing w:after="0" w:line="240" w:lineRule="auto"/>
              <w:jc w:val="left"/>
            </w:pPr>
            <w:r>
              <w:rPr>
                <w:rFonts w:ascii="Times New Roman" w:hAnsi="Times New Roman"/>
                <w:sz w:val="15"/>
              </w:rPr>
              <w:t>Discrete phase</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Nine Harwell-derived bins; one-way DPM</w:t>
            </w:r>
          </w:p>
        </w:tc>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5"/>
              </w:rPr>
              <w:t>Deterministic/stochastic DPM and EWF branches</w:t>
            </w:r>
          </w:p>
        </w:tc>
      </w:tr>
    </w:tbl>
    <w:p>
      <w:pPr>
        <w:pStyle w:val="Heading2"/>
      </w:pPr>
      <w:r>
        <w:t>Operating-condition and injection reconstruction</w:t>
      </w:r>
    </w:p>
    <w:p>
      <w:pPr>
        <w:pStyle w:val="BodyText"/>
        <w:keepLines w:val="0"/>
      </w:pPr>
      <w:r>
        <w:rPr>
          <w:rFonts w:ascii="Times New Roman" w:hAnsi="Times New Roman"/>
          <w:sz w:val="21"/>
        </w:rPr>
        <w:t>Each enthalpy label selected the steam-liquid mass split reported by Purnanto; enthalpy was not solved as a thermal boundary condition [1]. The Harwell correlation set each case's Sauter/median diameter scale, while nine normalized diameter and mass bins were reconstructed from the paper's Figure 5. The spiral baseline's native surface-injection convention was preserved: inert liquid-water particles were released from the inlet using the local face-normal direction.</w:t>
      </w:r>
    </w:p>
    <w:p>
      <w:pPr>
        <w:spacing w:before="20" w:after="60"/>
        <w:jc w:val="center"/>
      </w:pPr>
      <w:r>
        <w:rPr>
          <w:rFonts w:ascii="Cambria Math" w:hAnsi="Cambria Math"/>
          <w:i/>
          <w:sz w:val="21"/>
        </w:rPr>
        <w:t>xₛₐ = 1.91 Dₜ (Re⁰·¹ / We⁰·⁶)(ρg / ρl)⁰·⁶,     xₘₑd = 1.42 xₛₐ</w:t>
      </w:r>
    </w:p>
    <w:p>
      <w:pPr>
        <w:pStyle w:val="BodyText"/>
        <w:keepLines w:val="0"/>
      </w:pPr>
      <w:r>
        <w:rPr>
          <w:rFonts w:ascii="Times New Roman" w:hAnsi="Times New Roman"/>
          <w:sz w:val="21"/>
        </w:rPr>
        <w:t>The automated sequence loaded a fresh baseline, set and read back both phase mass flows, updated all nine injections, hybrid-initialised the carrier flow, completed 1500 verified iterations in 25-iteration blocks, saved a pre-DPM state, performed DPM tracking, and exported injection-level fates. Early residual stopping was disabled. Each case required nine populated injection rows and fate closure within 0.2%; the completed six-case sweep therefore required 54 rows.</w:t>
      </w:r>
    </w:p>
    <w:p>
      <w:pPr>
        <w:spacing w:before="20" w:after="60"/>
        <w:jc w:val="center"/>
      </w:pPr>
      <w:r>
        <w:rPr>
          <w:rFonts w:ascii="Cambria Math" w:hAnsi="Cambria Math"/>
          <w:i/>
          <w:sz w:val="21"/>
        </w:rPr>
        <w:t>ṁseparated = ṁtrapped + ṁincomplete,     quality_Purnanto = ṁsteam /(ṁsteam + ṁescaped) × 100%</w:t>
      </w:r>
    </w:p>
    <w:p>
      <w:r>
        <w:br w:type="page"/>
      </w:r>
    </w:p>
    <w:p>
      <w:pPr>
        <w:pStyle w:val="Heading1"/>
      </w:pPr>
      <w:r>
        <w:t>Completed spiral-inlet enthalpy sweep</w:t>
      </w:r>
    </w:p>
    <w:p>
      <w:pPr>
        <w:pStyle w:val="BodyText"/>
        <w:keepLines w:val="0"/>
      </w:pPr>
      <w:r>
        <w:rPr>
          <w:rFonts w:ascii="Times New Roman" w:hAnsi="Times New Roman"/>
          <w:sz w:val="21"/>
        </w:rPr>
        <w:t>All six operating conditions completed 1500 carrier-flow iterations on 15 Fluent ranks, followed by per-injection DPM tracking. Escaped liquid remained between 0.01655 and 0.02667 kg/s. Following Purnanto's treatment, all incomplete trajectories were assigned to the separated/trapped category and only escaped liquid was counted as carryover. This gives 99.96681% to 99.97949% steam quality. These values apply the published fate interpretation but are not independently audited outlet qualities. The present points form a nearly flat band and do not reproduce the 26.85 m/s dip in Purnanto's digitised spiral-inlet simulation series or its high-velocity calculation decline [1].</w:t>
      </w:r>
    </w:p>
    <w:p>
      <w:pPr>
        <w:keepNext/>
        <w:spacing w:after="20"/>
        <w:jc w:val="center"/>
      </w:pPr>
      <w:r>
        <w:drawing>
          <wp:inline xmlns:a="http://schemas.openxmlformats.org/drawingml/2006/main" xmlns:pic="http://schemas.openxmlformats.org/drawingml/2006/picture">
            <wp:extent cx="5715000" cy="2868884"/>
            <wp:docPr id="1" name="Picture 1" descr="Scatter plot comparing calculated outlet steam quality for six spiral-inlet CFD cases with digitised Purnanto calculation, simulation, and correlation results." title="Scatter plot comparing calculated outlet steam quality for six spiral-inlet CFD cases with digitised Purnanto calculation, simulation, and correlation results."/>
            <wp:cNvGraphicFramePr>
              <a:graphicFrameLocks noChangeAspect="1"/>
            </wp:cNvGraphicFramePr>
            <a:graphic>
              <a:graphicData uri="http://schemas.openxmlformats.org/drawingml/2006/picture">
                <pic:pic>
                  <pic:nvPicPr>
                    <pic:cNvPr id="0" name="spiral_inlet_output_steam_quality.png"/>
                    <pic:cNvPicPr/>
                  </pic:nvPicPr>
                  <pic:blipFill>
                    <a:blip r:embed="rId13"/>
                    <a:stretch>
                      <a:fillRect/>
                    </a:stretch>
                  </pic:blipFill>
                  <pic:spPr>
                    <a:xfrm>
                      <a:off x="0" y="0"/>
                      <a:ext cx="5715000" cy="2868884"/>
                    </a:xfrm>
                    <a:prstGeom prst="rect"/>
                  </pic:spPr>
                </pic:pic>
              </a:graphicData>
            </a:graphic>
          </wp:inline>
        </w:drawing>
      </w:r>
    </w:p>
    <w:p>
      <w:pPr>
        <w:pStyle w:val="Caption"/>
        <w:keepNext/>
        <w:spacing w:before="40" w:after="80"/>
      </w:pPr>
      <w:r>
        <w:rPr>
          <w:rFonts w:ascii="Times New Roman" w:hAnsi="Times New Roman"/>
          <w:sz w:val="18"/>
        </w:rPr>
        <w:t>Figure 1. Present six-case spiral-inlet CFD results compared with digitised Purnanto Figure 20 calculation/simulation points and the Lazalde-Crabtree correlation. Black points treat trapped and incomplete trajectories as separated, following Purnanto; the quality axis is inverted to match the source.</w:t>
      </w:r>
    </w:p>
    <w:p>
      <w:pPr>
        <w:pStyle w:val="Caption"/>
        <w:keepNext/>
        <w:spacing w:before="40" w:after="80"/>
      </w:pPr>
      <w:r>
        <w:rPr>
          <w:rFonts w:ascii="Times New Roman" w:hAnsi="Times New Roman"/>
          <w:sz w:val="18"/>
        </w:rPr>
        <w:t>Table 2. Completed spiral-inlet DPM outcomes and comparison with the nearest digitised Figure 20 simulation point.</w:t>
      </w:r>
    </w:p>
    <w:tbl>
      <w:tblPr>
        <w:tblStyle w:val="TableGrid"/>
        <w:tblW w:type="dxa" w:w="8350"/>
        <w:jc w:val="center"/>
        <w:tblLayout w:type="fixed"/>
        <w:tblLook w:firstColumn="1" w:firstRow="1" w:lastColumn="0" w:lastRow="0" w:noHBand="0" w:noVBand="1" w:val="04A0"/>
        <w:tblInd w:w="90" w:type="dxa"/>
      </w:tblPr>
      <w:tblGrid>
        <w:gridCol w:w="650"/>
        <w:gridCol w:w="1450"/>
        <w:gridCol w:w="1050"/>
        <w:gridCol w:w="1300"/>
        <w:gridCol w:w="1400"/>
        <w:gridCol w:w="1300"/>
        <w:gridCol w:w="1200"/>
      </w:tblGrid>
      <w:tr>
        <w:trPr>
          <w:tblHeader/>
        </w:trPr>
        <w:tc>
          <w:tcPr>
            <w:tcW w:type="dxa" w:w="650"/>
            <w:shd w:fill="D9EAF4"/>
            <w:vAlign w:val="center"/>
            <w:tcMar>
              <w:top w:w="70" w:type="dxa"/>
              <w:start w:w="90" w:type="dxa"/>
              <w:bottom w:w="70" w:type="dxa"/>
              <w:end w:w="90" w:type="dxa"/>
            </w:tcMar>
          </w:tcPr>
          <w:p>
            <w:pPr>
              <w:spacing w:after="0"/>
              <w:jc w:val="center"/>
            </w:pPr>
            <w:r>
              <w:rPr>
                <w:rFonts w:ascii="Times New Roman" w:hAnsi="Times New Roman"/>
                <w:b/>
                <w:sz w:val="15"/>
              </w:rPr>
              <w:t>Case</w:t>
            </w:r>
          </w:p>
        </w:tc>
        <w:tc>
          <w:tcPr>
            <w:tcW w:type="dxa" w:w="1450"/>
            <w:shd w:fill="D9EAF4"/>
            <w:vAlign w:val="center"/>
            <w:tcMar>
              <w:top w:w="70" w:type="dxa"/>
              <w:start w:w="90" w:type="dxa"/>
              <w:bottom w:w="70" w:type="dxa"/>
              <w:end w:w="90" w:type="dxa"/>
            </w:tcMar>
          </w:tcPr>
          <w:p>
            <w:pPr>
              <w:spacing w:after="0"/>
              <w:jc w:val="left"/>
            </w:pPr>
            <w:r>
              <w:rPr>
                <w:rFonts w:ascii="Times New Roman" w:hAnsi="Times New Roman"/>
                <w:b/>
                <w:sz w:val="15"/>
              </w:rPr>
              <w:t>Condition</w:t>
            </w:r>
          </w:p>
        </w:tc>
        <w:tc>
          <w:tcPr>
            <w:tcW w:type="dxa" w:w="1050"/>
            <w:shd w:fill="D9EAF4"/>
            <w:vAlign w:val="center"/>
            <w:tcMar>
              <w:top w:w="70" w:type="dxa"/>
              <w:start w:w="90" w:type="dxa"/>
              <w:bottom w:w="70" w:type="dxa"/>
              <w:end w:w="90" w:type="dxa"/>
            </w:tcMar>
          </w:tcPr>
          <w:p>
            <w:pPr>
              <w:spacing w:after="0"/>
              <w:jc w:val="center"/>
            </w:pPr>
            <w:r>
              <w:rPr>
                <w:rFonts w:ascii="Times New Roman" w:hAnsi="Times New Roman"/>
                <w:b/>
                <w:sz w:val="15"/>
              </w:rPr>
              <w:t>v (m/s)</w:t>
            </w:r>
          </w:p>
        </w:tc>
        <w:tc>
          <w:tcPr>
            <w:tcW w:type="dxa" w:w="1300"/>
            <w:shd w:fill="D9EAF4"/>
            <w:vAlign w:val="center"/>
            <w:tcMar>
              <w:top w:w="70" w:type="dxa"/>
              <w:start w:w="90" w:type="dxa"/>
              <w:bottom w:w="70" w:type="dxa"/>
              <w:end w:w="90" w:type="dxa"/>
            </w:tcMar>
          </w:tcPr>
          <w:p>
            <w:pPr>
              <w:spacing w:after="0"/>
              <w:jc w:val="center"/>
            </w:pPr>
            <w:r>
              <w:rPr>
                <w:rFonts w:ascii="Times New Roman" w:hAnsi="Times New Roman"/>
                <w:b/>
                <w:sz w:val="15"/>
              </w:rPr>
              <w:t>Escaped</w:t>
              <w:br/>
              <w:t>(kg/s)</w:t>
            </w:r>
          </w:p>
        </w:tc>
        <w:tc>
          <w:tcPr>
            <w:tcW w:type="dxa" w:w="1400"/>
            <w:shd w:fill="D9EAF4"/>
            <w:vAlign w:val="center"/>
            <w:tcMar>
              <w:top w:w="70" w:type="dxa"/>
              <w:start w:w="90" w:type="dxa"/>
              <w:bottom w:w="70" w:type="dxa"/>
              <w:end w:w="90" w:type="dxa"/>
            </w:tcMar>
          </w:tcPr>
          <w:p>
            <w:pPr>
              <w:spacing w:after="0"/>
              <w:jc w:val="center"/>
            </w:pPr>
            <w:r>
              <w:rPr>
                <w:rFonts w:ascii="Times New Roman" w:hAnsi="Times New Roman"/>
                <w:b/>
                <w:sz w:val="15"/>
              </w:rPr>
              <w:t>Incomplete</w:t>
              <w:br/>
              <w:t>(kg/s)</w:t>
            </w:r>
          </w:p>
        </w:tc>
        <w:tc>
          <w:tcPr>
            <w:tcW w:type="dxa" w:w="1300"/>
            <w:shd w:fill="D9EAF4"/>
            <w:vAlign w:val="center"/>
            <w:tcMar>
              <w:top w:w="70" w:type="dxa"/>
              <w:start w:w="90" w:type="dxa"/>
              <w:bottom w:w="70" w:type="dxa"/>
              <w:end w:w="90" w:type="dxa"/>
            </w:tcMar>
          </w:tcPr>
          <w:p>
            <w:pPr>
              <w:spacing w:after="0"/>
              <w:jc w:val="center"/>
            </w:pPr>
            <w:r>
              <w:rPr>
                <w:rFonts w:ascii="Times New Roman" w:hAnsi="Times New Roman"/>
                <w:b/>
                <w:sz w:val="15"/>
              </w:rPr>
              <w:t>Quality</w:t>
              <w:br/>
              <w:t>(%)</w:t>
            </w:r>
          </w:p>
        </w:tc>
        <w:tc>
          <w:tcPr>
            <w:tcW w:type="dxa" w:w="1200"/>
            <w:shd w:fill="D9EAF4"/>
            <w:vAlign w:val="center"/>
            <w:tcMar>
              <w:top w:w="70" w:type="dxa"/>
              <w:start w:w="90" w:type="dxa"/>
              <w:bottom w:w="70" w:type="dxa"/>
              <w:end w:w="90" w:type="dxa"/>
            </w:tcMar>
          </w:tcPr>
          <w:p>
            <w:pPr>
              <w:spacing w:after="0"/>
              <w:jc w:val="center"/>
            </w:pPr>
            <w:r>
              <w:rPr>
                <w:rFonts w:ascii="Times New Roman" w:hAnsi="Times New Roman"/>
                <w:b/>
                <w:sz w:val="15"/>
              </w:rPr>
              <w:t>Δ vs ref.</w:t>
              <w:br/>
              <w:t>(pp)</w:t>
            </w:r>
          </w:p>
        </w:tc>
      </w:tr>
      <w:tr>
        <w:tc>
          <w:tcPr>
            <w:tcW w:type="dxa" w:w="650"/>
            <w:vAlign w:val="center"/>
            <w:tcMar>
              <w:top w:w="70" w:type="dxa"/>
              <w:start w:w="90" w:type="dxa"/>
              <w:bottom w:w="70" w:type="dxa"/>
              <w:end w:w="90" w:type="dxa"/>
            </w:tcMar>
          </w:tcPr>
          <w:p>
            <w:pPr>
              <w:spacing w:after="0" w:line="240" w:lineRule="auto"/>
              <w:jc w:val="center"/>
            </w:pPr>
            <w:r>
              <w:rPr>
                <w:rFonts w:ascii="Times New Roman" w:hAnsi="Times New Roman"/>
                <w:sz w:val="15"/>
              </w:rPr>
              <w:t>1</w:t>
            </w:r>
          </w:p>
        </w:tc>
        <w:tc>
          <w:tcPr>
            <w:tcW w:type="dxa" w:w="1450"/>
            <w:vAlign w:val="center"/>
            <w:tcMar>
              <w:top w:w="70" w:type="dxa"/>
              <w:start w:w="90" w:type="dxa"/>
              <w:bottom w:w="70" w:type="dxa"/>
              <w:end w:w="90" w:type="dxa"/>
            </w:tcMar>
          </w:tcPr>
          <w:p>
            <w:pPr>
              <w:spacing w:after="0" w:line="240" w:lineRule="auto"/>
              <w:jc w:val="left"/>
            </w:pPr>
            <w:r>
              <w:rPr>
                <w:rFonts w:ascii="Times New Roman" w:hAnsi="Times New Roman"/>
                <w:sz w:val="15"/>
              </w:rPr>
              <w:t>1600 -25%</w:t>
            </w:r>
          </w:p>
        </w:tc>
        <w:tc>
          <w:tcPr>
            <w:tcW w:type="dxa" w:w="1050"/>
            <w:vAlign w:val="center"/>
            <w:tcMar>
              <w:top w:w="70" w:type="dxa"/>
              <w:start w:w="90" w:type="dxa"/>
              <w:bottom w:w="70" w:type="dxa"/>
              <w:end w:w="90" w:type="dxa"/>
            </w:tcMar>
          </w:tcPr>
          <w:p>
            <w:pPr>
              <w:spacing w:after="0" w:line="240" w:lineRule="auto"/>
              <w:jc w:val="center"/>
            </w:pPr>
            <w:r>
              <w:rPr>
                <w:rFonts w:ascii="Times New Roman" w:hAnsi="Times New Roman"/>
                <w:sz w:val="15"/>
              </w:rPr>
              <w:t>20.15</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0.01941</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5"/>
              </w:rPr>
              <w:t>2.068</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99.9679</w:t>
            </w:r>
          </w:p>
        </w:tc>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5"/>
              </w:rPr>
              <w:t>-0.0201</w:t>
            </w:r>
          </w:p>
        </w:tc>
      </w:tr>
      <w:tr>
        <w:tc>
          <w:tcPr>
            <w:tcW w:type="dxa" w:w="650"/>
            <w:vAlign w:val="center"/>
            <w:tcMar>
              <w:top w:w="70" w:type="dxa"/>
              <w:start w:w="90" w:type="dxa"/>
              <w:bottom w:w="70" w:type="dxa"/>
              <w:end w:w="90" w:type="dxa"/>
            </w:tcMar>
          </w:tcPr>
          <w:p>
            <w:pPr>
              <w:spacing w:after="0" w:line="240" w:lineRule="auto"/>
              <w:jc w:val="center"/>
            </w:pPr>
            <w:r>
              <w:rPr>
                <w:rFonts w:ascii="Times New Roman" w:hAnsi="Times New Roman"/>
                <w:sz w:val="15"/>
              </w:rPr>
              <w:t>2</w:t>
            </w:r>
          </w:p>
        </w:tc>
        <w:tc>
          <w:tcPr>
            <w:tcW w:type="dxa" w:w="1450"/>
            <w:vAlign w:val="center"/>
            <w:tcMar>
              <w:top w:w="70" w:type="dxa"/>
              <w:start w:w="90" w:type="dxa"/>
              <w:bottom w:w="70" w:type="dxa"/>
              <w:end w:w="90" w:type="dxa"/>
            </w:tcMar>
          </w:tcPr>
          <w:p>
            <w:pPr>
              <w:spacing w:after="0" w:line="240" w:lineRule="auto"/>
              <w:jc w:val="left"/>
            </w:pPr>
            <w:r>
              <w:rPr>
                <w:rFonts w:ascii="Times New Roman" w:hAnsi="Times New Roman"/>
                <w:sz w:val="15"/>
              </w:rPr>
              <w:t>1440</w:t>
            </w:r>
          </w:p>
        </w:tc>
        <w:tc>
          <w:tcPr>
            <w:tcW w:type="dxa" w:w="1050"/>
            <w:vAlign w:val="center"/>
            <w:tcMar>
              <w:top w:w="70" w:type="dxa"/>
              <w:start w:w="90" w:type="dxa"/>
              <w:bottom w:w="70" w:type="dxa"/>
              <w:end w:w="90" w:type="dxa"/>
            </w:tcMar>
          </w:tcPr>
          <w:p>
            <w:pPr>
              <w:spacing w:after="0" w:line="240" w:lineRule="auto"/>
              <w:jc w:val="center"/>
            </w:pPr>
            <w:r>
              <w:rPr>
                <w:rFonts w:ascii="Times New Roman" w:hAnsi="Times New Roman"/>
                <w:sz w:val="15"/>
              </w:rPr>
              <w:t>21.59</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0.02088</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5"/>
              </w:rPr>
              <w:t>3.307</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99.9678</w:t>
            </w:r>
          </w:p>
        </w:tc>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5"/>
              </w:rPr>
              <w:t>-0.0202</w:t>
            </w:r>
          </w:p>
        </w:tc>
      </w:tr>
      <w:tr>
        <w:tc>
          <w:tcPr>
            <w:tcW w:type="dxa" w:w="650"/>
            <w:vAlign w:val="center"/>
            <w:tcMar>
              <w:top w:w="70" w:type="dxa"/>
              <w:start w:w="90" w:type="dxa"/>
              <w:bottom w:w="70" w:type="dxa"/>
              <w:end w:w="90" w:type="dxa"/>
            </w:tcMar>
          </w:tcPr>
          <w:p>
            <w:pPr>
              <w:spacing w:after="0" w:line="240" w:lineRule="auto"/>
              <w:jc w:val="center"/>
            </w:pPr>
            <w:r>
              <w:rPr>
                <w:rFonts w:ascii="Times New Roman" w:hAnsi="Times New Roman"/>
                <w:sz w:val="15"/>
              </w:rPr>
              <w:t>3</w:t>
            </w:r>
          </w:p>
        </w:tc>
        <w:tc>
          <w:tcPr>
            <w:tcW w:type="dxa" w:w="1450"/>
            <w:vAlign w:val="center"/>
            <w:tcMar>
              <w:top w:w="70" w:type="dxa"/>
              <w:start w:w="90" w:type="dxa"/>
              <w:bottom w:w="70" w:type="dxa"/>
              <w:end w:w="90" w:type="dxa"/>
            </w:tcMar>
          </w:tcPr>
          <w:p>
            <w:pPr>
              <w:spacing w:after="0" w:line="240" w:lineRule="auto"/>
              <w:jc w:val="left"/>
            </w:pPr>
            <w:r>
              <w:rPr>
                <w:rFonts w:ascii="Times New Roman" w:hAnsi="Times New Roman"/>
                <w:sz w:val="15"/>
              </w:rPr>
              <w:t>1520</w:t>
            </w:r>
          </w:p>
        </w:tc>
        <w:tc>
          <w:tcPr>
            <w:tcW w:type="dxa" w:w="1050"/>
            <w:vAlign w:val="center"/>
            <w:tcMar>
              <w:top w:w="70" w:type="dxa"/>
              <w:start w:w="90" w:type="dxa"/>
              <w:bottom w:w="70" w:type="dxa"/>
              <w:end w:w="90" w:type="dxa"/>
            </w:tcMar>
          </w:tcPr>
          <w:p>
            <w:pPr>
              <w:spacing w:after="0" w:line="240" w:lineRule="auto"/>
              <w:jc w:val="center"/>
            </w:pPr>
            <w:r>
              <w:rPr>
                <w:rFonts w:ascii="Times New Roman" w:hAnsi="Times New Roman"/>
                <w:sz w:val="15"/>
              </w:rPr>
              <w:t>24.23</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0.02416</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5"/>
              </w:rPr>
              <w:t>3.120</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99.9668</w:t>
            </w:r>
          </w:p>
        </w:tc>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5"/>
              </w:rPr>
              <w:t>-0.0208</w:t>
            </w:r>
          </w:p>
        </w:tc>
      </w:tr>
      <w:tr>
        <w:tc>
          <w:tcPr>
            <w:tcW w:type="dxa" w:w="650"/>
            <w:vAlign w:val="center"/>
            <w:tcMar>
              <w:top w:w="70" w:type="dxa"/>
              <w:start w:w="90" w:type="dxa"/>
              <w:bottom w:w="70" w:type="dxa"/>
              <w:end w:w="90" w:type="dxa"/>
            </w:tcMar>
          </w:tcPr>
          <w:p>
            <w:pPr>
              <w:spacing w:after="0" w:line="240" w:lineRule="auto"/>
              <w:jc w:val="center"/>
            </w:pPr>
            <w:r>
              <w:rPr>
                <w:rFonts w:ascii="Times New Roman" w:hAnsi="Times New Roman"/>
                <w:sz w:val="15"/>
              </w:rPr>
              <w:t>4</w:t>
            </w:r>
          </w:p>
        </w:tc>
        <w:tc>
          <w:tcPr>
            <w:tcW w:type="dxa" w:w="1450"/>
            <w:vAlign w:val="center"/>
            <w:tcMar>
              <w:top w:w="70" w:type="dxa"/>
              <w:start w:w="90" w:type="dxa"/>
              <w:bottom w:w="70" w:type="dxa"/>
              <w:end w:w="90" w:type="dxa"/>
            </w:tcMar>
          </w:tcPr>
          <w:p>
            <w:pPr>
              <w:spacing w:after="0" w:line="240" w:lineRule="auto"/>
              <w:jc w:val="left"/>
            </w:pPr>
            <w:r>
              <w:rPr>
                <w:rFonts w:ascii="Times New Roman" w:hAnsi="Times New Roman"/>
                <w:sz w:val="15"/>
              </w:rPr>
              <w:t>1600</w:t>
            </w:r>
          </w:p>
        </w:tc>
        <w:tc>
          <w:tcPr>
            <w:tcW w:type="dxa" w:w="1050"/>
            <w:vAlign w:val="center"/>
            <w:tcMar>
              <w:top w:w="70" w:type="dxa"/>
              <w:start w:w="90" w:type="dxa"/>
              <w:bottom w:w="70" w:type="dxa"/>
              <w:end w:w="90" w:type="dxa"/>
            </w:tcMar>
          </w:tcPr>
          <w:p>
            <w:pPr>
              <w:spacing w:after="0" w:line="240" w:lineRule="auto"/>
              <w:jc w:val="center"/>
            </w:pPr>
            <w:r>
              <w:rPr>
                <w:rFonts w:ascii="Times New Roman" w:hAnsi="Times New Roman"/>
                <w:sz w:val="15"/>
              </w:rPr>
              <w:t>26.87</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0.01655</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5"/>
              </w:rPr>
              <w:t>3.907</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99.9795</w:t>
            </w:r>
          </w:p>
        </w:tc>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5"/>
              </w:rPr>
              <w:t>+0.1498</w:t>
            </w:r>
          </w:p>
        </w:tc>
      </w:tr>
      <w:tr>
        <w:tc>
          <w:tcPr>
            <w:tcW w:type="dxa" w:w="650"/>
            <w:vAlign w:val="center"/>
            <w:tcMar>
              <w:top w:w="70" w:type="dxa"/>
              <w:start w:w="90" w:type="dxa"/>
              <w:bottom w:w="70" w:type="dxa"/>
              <w:end w:w="90" w:type="dxa"/>
            </w:tcMar>
          </w:tcPr>
          <w:p>
            <w:pPr>
              <w:spacing w:after="0" w:line="240" w:lineRule="auto"/>
              <w:jc w:val="center"/>
            </w:pPr>
            <w:r>
              <w:rPr>
                <w:rFonts w:ascii="Times New Roman" w:hAnsi="Times New Roman"/>
                <w:sz w:val="15"/>
              </w:rPr>
              <w:t>5</w:t>
            </w:r>
          </w:p>
        </w:tc>
        <w:tc>
          <w:tcPr>
            <w:tcW w:type="dxa" w:w="1450"/>
            <w:vAlign w:val="center"/>
            <w:tcMar>
              <w:top w:w="70" w:type="dxa"/>
              <w:start w:w="90" w:type="dxa"/>
              <w:bottom w:w="70" w:type="dxa"/>
              <w:end w:w="90" w:type="dxa"/>
            </w:tcMar>
          </w:tcPr>
          <w:p>
            <w:pPr>
              <w:spacing w:after="0" w:line="240" w:lineRule="auto"/>
              <w:jc w:val="left"/>
            </w:pPr>
            <w:r>
              <w:rPr>
                <w:rFonts w:ascii="Times New Roman" w:hAnsi="Times New Roman"/>
                <w:sz w:val="15"/>
              </w:rPr>
              <w:t>1680</w:t>
            </w:r>
          </w:p>
        </w:tc>
        <w:tc>
          <w:tcPr>
            <w:tcW w:type="dxa" w:w="1050"/>
            <w:vAlign w:val="center"/>
            <w:tcMar>
              <w:top w:w="70" w:type="dxa"/>
              <w:start w:w="90" w:type="dxa"/>
              <w:bottom w:w="70" w:type="dxa"/>
              <w:end w:w="90" w:type="dxa"/>
            </w:tcMar>
          </w:tcPr>
          <w:p>
            <w:pPr>
              <w:spacing w:after="0" w:line="240" w:lineRule="auto"/>
              <w:jc w:val="center"/>
            </w:pPr>
            <w:r>
              <w:rPr>
                <w:rFonts w:ascii="Times New Roman" w:hAnsi="Times New Roman"/>
                <w:sz w:val="15"/>
              </w:rPr>
              <w:t>29.50</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0.01896</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5"/>
              </w:rPr>
              <w:t>5.235</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99.9786</w:t>
            </w:r>
          </w:p>
        </w:tc>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5"/>
              </w:rPr>
              <w:t>-0.0143</w:t>
            </w:r>
          </w:p>
        </w:tc>
      </w:tr>
      <w:tr>
        <w:tc>
          <w:tcPr>
            <w:tcW w:type="dxa" w:w="650"/>
            <w:vAlign w:val="center"/>
            <w:tcMar>
              <w:top w:w="70" w:type="dxa"/>
              <w:start w:w="90" w:type="dxa"/>
              <w:bottom w:w="70" w:type="dxa"/>
              <w:end w:w="90" w:type="dxa"/>
            </w:tcMar>
          </w:tcPr>
          <w:p>
            <w:pPr>
              <w:spacing w:after="0" w:line="240" w:lineRule="auto"/>
              <w:jc w:val="center"/>
            </w:pPr>
            <w:r>
              <w:rPr>
                <w:rFonts w:ascii="Times New Roman" w:hAnsi="Times New Roman"/>
                <w:sz w:val="15"/>
              </w:rPr>
              <w:t>6</w:t>
            </w:r>
          </w:p>
        </w:tc>
        <w:tc>
          <w:tcPr>
            <w:tcW w:type="dxa" w:w="1450"/>
            <w:vAlign w:val="center"/>
            <w:tcMar>
              <w:top w:w="70" w:type="dxa"/>
              <w:start w:w="90" w:type="dxa"/>
              <w:bottom w:w="70" w:type="dxa"/>
              <w:end w:w="90" w:type="dxa"/>
            </w:tcMar>
          </w:tcPr>
          <w:p>
            <w:pPr>
              <w:spacing w:after="0" w:line="240" w:lineRule="auto"/>
              <w:jc w:val="left"/>
            </w:pPr>
            <w:r>
              <w:rPr>
                <w:rFonts w:ascii="Times New Roman" w:hAnsi="Times New Roman"/>
                <w:sz w:val="15"/>
              </w:rPr>
              <w:t>1760</w:t>
            </w:r>
          </w:p>
        </w:tc>
        <w:tc>
          <w:tcPr>
            <w:tcW w:type="dxa" w:w="1050"/>
            <w:vAlign w:val="center"/>
            <w:tcMar>
              <w:top w:w="70" w:type="dxa"/>
              <w:start w:w="90" w:type="dxa"/>
              <w:bottom w:w="70" w:type="dxa"/>
              <w:end w:w="90" w:type="dxa"/>
            </w:tcMar>
          </w:tcPr>
          <w:p>
            <w:pPr>
              <w:spacing w:after="0" w:line="240" w:lineRule="auto"/>
              <w:jc w:val="center"/>
            </w:pPr>
            <w:r>
              <w:rPr>
                <w:rFonts w:ascii="Times New Roman" w:hAnsi="Times New Roman"/>
                <w:sz w:val="15"/>
              </w:rPr>
              <w:t>32.14</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0.02667</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5"/>
              </w:rPr>
              <w:t>6.680</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5"/>
              </w:rPr>
              <w:t>99.9724</w:t>
            </w:r>
          </w:p>
        </w:tc>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5"/>
              </w:rPr>
              <w:t>-0.0253</w:t>
            </w:r>
          </w:p>
        </w:tc>
      </w:tr>
    </w:tbl>
    <w:p>
      <w:pPr>
        <w:pStyle w:val="BodyText"/>
        <w:keepLines w:val="0"/>
      </w:pPr>
      <w:r>
        <w:rPr>
          <w:rFonts w:ascii="Times New Roman" w:hAnsi="Times New Roman"/>
          <w:sz w:val="21"/>
        </w:rPr>
        <w:t>Case 4 is the largest trend mismatch: the project predicts 99.9795% at 26.87 m/s, whereas the nearest digitised Purnanto simulation point is approximately 99.8297%. Agreement in magnitude for the other five points does not establish validation because the reference trend is not recovered, the numerator is prescribed inlet steam flow, and incomplete trajectories are assigned to the separated category rather than resolved to a physical endpoint.</w:t>
      </w:r>
    </w:p>
    <w:p>
      <w:r>
        <w:br w:type="page"/>
      </w:r>
    </w:p>
    <w:p>
      <w:pPr>
        <w:pStyle w:val="Heading1"/>
      </w:pPr>
      <w:r>
        <w:t>Size-resolved DPM behaviour</w:t>
      </w:r>
    </w:p>
    <w:p>
      <w:pPr>
        <w:pStyle w:val="BodyText"/>
        <w:keepLines w:val="0"/>
      </w:pPr>
      <w:r>
        <w:rPr>
          <w:rFonts w:ascii="Times New Roman" w:hAnsi="Times New Roman"/>
          <w:sz w:val="21"/>
        </w:rPr>
        <w:t>Across all six spiral cases, completed outlet escape occurred only in the finest injection. The 5 µm-class tracks remain closely coupled to the rotating carrier flow, populate the upper recirculation region and exhibit the longest plotted residence-time scale. Increasing diameter shortens the displayed residence-time range and shifts the dominant fate toward bottom trapping, consistent with increasing inertial separation.</w:t>
      </w:r>
    </w:p>
    <w:p>
      <w:pPr>
        <w:keepNext/>
        <w:spacing w:after="20"/>
        <w:jc w:val="center"/>
      </w:pPr>
      <w:r>
        <w:drawing>
          <wp:inline xmlns:a="http://schemas.openxmlformats.org/drawingml/2006/main" xmlns:pic="http://schemas.openxmlformats.org/drawingml/2006/picture">
            <wp:extent cx="5897880" cy="1614272"/>
            <wp:docPr id="2" name="Picture 2" descr="Three particle-track panels showing residence time for nominal 5, 168, and 348 micrometre droplets in the spiral-inlet separator." title="Three particle-track panels showing residence time for nominal 5, 168, and 348 micrometre droplets in the spiral-inlet separator."/>
            <wp:cNvGraphicFramePr>
              <a:graphicFrameLocks noChangeAspect="1"/>
            </wp:cNvGraphicFramePr>
            <a:graphic>
              <a:graphicData uri="http://schemas.openxmlformats.org/drawingml/2006/picture">
                <pic:pic>
                  <pic:nvPicPr>
                    <pic:cNvPr id="0" name="spiral_dpm_particle_tracking_comparison.png"/>
                    <pic:cNvPicPr/>
                  </pic:nvPicPr>
                  <pic:blipFill>
                    <a:blip r:embed="rId14"/>
                    <a:stretch>
                      <a:fillRect/>
                    </a:stretch>
                  </pic:blipFill>
                  <pic:spPr>
                    <a:xfrm>
                      <a:off x="0" y="0"/>
                      <a:ext cx="5897880" cy="1614272"/>
                    </a:xfrm>
                    <a:prstGeom prst="rect"/>
                  </pic:spPr>
                </pic:pic>
              </a:graphicData>
            </a:graphic>
          </wp:inline>
        </w:drawing>
      </w:r>
    </w:p>
    <w:p>
      <w:pPr>
        <w:pStyle w:val="Caption"/>
        <w:keepNext/>
        <w:spacing w:before="40" w:after="80"/>
      </w:pPr>
      <w:r>
        <w:rPr>
          <w:rFonts w:ascii="Times New Roman" w:hAnsi="Times New Roman"/>
          <w:sz w:val="18"/>
        </w:rPr>
        <w:t>Figure 2. Particle-residence-time tracks for nominal 5, 168 and 348 µm injections. Colour scales differ between panels and therefore indicate within-panel residence time, not a shared quantitative scale.</w:t>
      </w:r>
    </w:p>
    <w:p>
      <w:pPr>
        <w:pStyle w:val="Caption"/>
        <w:keepNext/>
        <w:spacing w:before="40" w:after="80"/>
      </w:pPr>
      <w:r>
        <w:rPr>
          <w:rFonts w:ascii="Times New Roman" w:hAnsi="Times New Roman"/>
          <w:sz w:val="18"/>
        </w:rPr>
        <w:t>Table 3. Selected Case 4 (1600 kJ/kg) injection-level fate accounting.</w:t>
      </w:r>
    </w:p>
    <w:tbl>
      <w:tblPr>
        <w:tblStyle w:val="TableGrid"/>
        <w:tblW w:type="dxa" w:w="8900"/>
        <w:jc w:val="center"/>
        <w:tblLayout w:type="fixed"/>
        <w:tblLook w:firstColumn="1" w:firstRow="1" w:lastColumn="0" w:lastRow="0" w:noHBand="0" w:noVBand="1" w:val="04A0"/>
        <w:tblInd w:w="90" w:type="dxa"/>
      </w:tblPr>
      <w:tblGrid>
        <w:gridCol w:w="1150"/>
        <w:gridCol w:w="1050"/>
        <w:gridCol w:w="1300"/>
        <w:gridCol w:w="1300"/>
        <w:gridCol w:w="1300"/>
        <w:gridCol w:w="1400"/>
        <w:gridCol w:w="1400"/>
      </w:tblGrid>
      <w:tr>
        <w:trPr>
          <w:tblHeader/>
        </w:trPr>
        <w:tc>
          <w:tcPr>
            <w:tcW w:type="dxa" w:w="1150"/>
            <w:shd w:fill="D9EAF4"/>
            <w:vAlign w:val="center"/>
            <w:tcMar>
              <w:top w:w="70" w:type="dxa"/>
              <w:start w:w="90" w:type="dxa"/>
              <w:bottom w:w="70" w:type="dxa"/>
              <w:end w:w="90" w:type="dxa"/>
            </w:tcMar>
          </w:tcPr>
          <w:p>
            <w:pPr>
              <w:spacing w:after="0"/>
              <w:jc w:val="center"/>
            </w:pPr>
            <w:r>
              <w:rPr>
                <w:rFonts w:ascii="Times New Roman" w:hAnsi="Times New Roman"/>
                <w:b/>
                <w:sz w:val="16"/>
              </w:rPr>
              <w:t>Nominal class</w:t>
              <w:br/>
              <w:t>(µm)</w:t>
            </w:r>
          </w:p>
        </w:tc>
        <w:tc>
          <w:tcPr>
            <w:tcW w:type="dxa" w:w="1050"/>
            <w:shd w:fill="D9EAF4"/>
            <w:vAlign w:val="center"/>
            <w:tcMar>
              <w:top w:w="70" w:type="dxa"/>
              <w:start w:w="90" w:type="dxa"/>
              <w:bottom w:w="70" w:type="dxa"/>
              <w:end w:w="90" w:type="dxa"/>
            </w:tcMar>
          </w:tcPr>
          <w:p>
            <w:pPr>
              <w:spacing w:after="0"/>
              <w:jc w:val="center"/>
            </w:pPr>
            <w:r>
              <w:rPr>
                <w:rFonts w:ascii="Times New Roman" w:hAnsi="Times New Roman"/>
                <w:b/>
                <w:sz w:val="16"/>
              </w:rPr>
              <w:t>Actual d</w:t>
              <w:br/>
              <w:t>(µm)</w:t>
            </w:r>
          </w:p>
        </w:tc>
        <w:tc>
          <w:tcPr>
            <w:tcW w:type="dxa" w:w="1300"/>
            <w:shd w:fill="D9EAF4"/>
            <w:vAlign w:val="center"/>
            <w:tcMar>
              <w:top w:w="70" w:type="dxa"/>
              <w:start w:w="90" w:type="dxa"/>
              <w:bottom w:w="70" w:type="dxa"/>
              <w:end w:w="90" w:type="dxa"/>
            </w:tcMar>
          </w:tcPr>
          <w:p>
            <w:pPr>
              <w:spacing w:after="0"/>
              <w:jc w:val="center"/>
            </w:pPr>
            <w:r>
              <w:rPr>
                <w:rFonts w:ascii="Times New Roman" w:hAnsi="Times New Roman"/>
                <w:b/>
                <w:sz w:val="16"/>
              </w:rPr>
              <w:t>Injected</w:t>
              <w:br/>
              <w:t>(kg/s)</w:t>
            </w:r>
          </w:p>
        </w:tc>
        <w:tc>
          <w:tcPr>
            <w:tcW w:type="dxa" w:w="1300"/>
            <w:shd w:fill="D9EAF4"/>
            <w:vAlign w:val="center"/>
            <w:tcMar>
              <w:top w:w="70" w:type="dxa"/>
              <w:start w:w="90" w:type="dxa"/>
              <w:bottom w:w="70" w:type="dxa"/>
              <w:end w:w="90" w:type="dxa"/>
            </w:tcMar>
          </w:tcPr>
          <w:p>
            <w:pPr>
              <w:spacing w:after="0"/>
              <w:jc w:val="center"/>
            </w:pPr>
            <w:r>
              <w:rPr>
                <w:rFonts w:ascii="Times New Roman" w:hAnsi="Times New Roman"/>
                <w:b/>
                <w:sz w:val="16"/>
              </w:rPr>
              <w:t>Escaped</w:t>
              <w:br/>
              <w:t>(kg/s)</w:t>
            </w:r>
          </w:p>
        </w:tc>
        <w:tc>
          <w:tcPr>
            <w:tcW w:type="dxa" w:w="1300"/>
            <w:shd w:fill="D9EAF4"/>
            <w:vAlign w:val="center"/>
            <w:tcMar>
              <w:top w:w="70" w:type="dxa"/>
              <w:start w:w="90" w:type="dxa"/>
              <w:bottom w:w="70" w:type="dxa"/>
              <w:end w:w="90" w:type="dxa"/>
            </w:tcMar>
          </w:tcPr>
          <w:p>
            <w:pPr>
              <w:spacing w:after="0"/>
              <w:jc w:val="center"/>
            </w:pPr>
            <w:r>
              <w:rPr>
                <w:rFonts w:ascii="Times New Roman" w:hAnsi="Times New Roman"/>
                <w:b/>
                <w:sz w:val="16"/>
              </w:rPr>
              <w:t>Trapped</w:t>
              <w:br/>
              <w:t>(kg/s)</w:t>
            </w:r>
          </w:p>
        </w:tc>
        <w:tc>
          <w:tcPr>
            <w:tcW w:type="dxa" w:w="1400"/>
            <w:shd w:fill="D9EAF4"/>
            <w:vAlign w:val="center"/>
            <w:tcMar>
              <w:top w:w="70" w:type="dxa"/>
              <w:start w:w="90" w:type="dxa"/>
              <w:bottom w:w="70" w:type="dxa"/>
              <w:end w:w="90" w:type="dxa"/>
            </w:tcMar>
          </w:tcPr>
          <w:p>
            <w:pPr>
              <w:spacing w:after="0"/>
              <w:jc w:val="center"/>
            </w:pPr>
            <w:r>
              <w:rPr>
                <w:rFonts w:ascii="Times New Roman" w:hAnsi="Times New Roman"/>
                <w:b/>
                <w:sz w:val="16"/>
              </w:rPr>
              <w:t>Incomplete</w:t>
              <w:br/>
              <w:t>(kg/s)</w:t>
            </w:r>
          </w:p>
        </w:tc>
        <w:tc>
          <w:tcPr>
            <w:tcW w:type="dxa" w:w="1400"/>
            <w:shd w:fill="D9EAF4"/>
            <w:vAlign w:val="center"/>
            <w:tcMar>
              <w:top w:w="70" w:type="dxa"/>
              <w:start w:w="90" w:type="dxa"/>
              <w:bottom w:w="70" w:type="dxa"/>
              <w:end w:w="90" w:type="dxa"/>
            </w:tcMar>
          </w:tcPr>
          <w:p>
            <w:pPr>
              <w:spacing w:after="0"/>
              <w:jc w:val="center"/>
            </w:pPr>
            <w:r>
              <w:rPr>
                <w:rFonts w:ascii="Times New Roman" w:hAnsi="Times New Roman"/>
                <w:b/>
                <w:sz w:val="16"/>
              </w:rPr>
              <w:t>Incomplete</w:t>
              <w:br/>
              <w:t>(%)</w:t>
            </w:r>
          </w:p>
        </w:tc>
      </w:tr>
      <w:tr>
        <w:tc>
          <w:tcPr>
            <w:tcW w:type="dxa" w:w="1150"/>
            <w:vAlign w:val="center"/>
            <w:tcMar>
              <w:top w:w="70" w:type="dxa"/>
              <w:start w:w="90" w:type="dxa"/>
              <w:bottom w:w="70" w:type="dxa"/>
              <w:end w:w="90" w:type="dxa"/>
            </w:tcMar>
          </w:tcPr>
          <w:p>
            <w:pPr>
              <w:spacing w:after="0" w:line="240" w:lineRule="auto"/>
              <w:jc w:val="center"/>
            </w:pPr>
            <w:r>
              <w:rPr>
                <w:rFonts w:ascii="Times New Roman" w:hAnsi="Times New Roman"/>
                <w:sz w:val="16"/>
              </w:rPr>
              <w:t>5</w:t>
            </w:r>
          </w:p>
        </w:tc>
        <w:tc>
          <w:tcPr>
            <w:tcW w:type="dxa" w:w="1050"/>
            <w:vAlign w:val="center"/>
            <w:tcMar>
              <w:top w:w="70" w:type="dxa"/>
              <w:start w:w="90" w:type="dxa"/>
              <w:bottom w:w="70" w:type="dxa"/>
              <w:end w:w="90" w:type="dxa"/>
            </w:tcMar>
          </w:tcPr>
          <w:p>
            <w:pPr>
              <w:spacing w:after="0" w:line="240" w:lineRule="auto"/>
              <w:jc w:val="center"/>
            </w:pPr>
            <w:r>
              <w:rPr>
                <w:rFonts w:ascii="Times New Roman" w:hAnsi="Times New Roman"/>
                <w:sz w:val="16"/>
              </w:rPr>
              <w:t>5.6</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6"/>
              </w:rPr>
              <w:t>0.1900</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6"/>
              </w:rPr>
              <w:t>0.01655</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6"/>
              </w:rPr>
              <w:t>0.0373</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6"/>
              </w:rPr>
              <w:t>0.1362</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6"/>
              </w:rPr>
              <w:t>71.7</w:t>
            </w:r>
          </w:p>
        </w:tc>
      </w:tr>
      <w:tr>
        <w:tc>
          <w:tcPr>
            <w:tcW w:type="dxa" w:w="1150"/>
            <w:vAlign w:val="center"/>
            <w:tcMar>
              <w:top w:w="70" w:type="dxa"/>
              <w:start w:w="90" w:type="dxa"/>
              <w:bottom w:w="70" w:type="dxa"/>
              <w:end w:w="90" w:type="dxa"/>
            </w:tcMar>
          </w:tcPr>
          <w:p>
            <w:pPr>
              <w:spacing w:after="0" w:line="240" w:lineRule="auto"/>
              <w:jc w:val="center"/>
            </w:pPr>
            <w:r>
              <w:rPr>
                <w:rFonts w:ascii="Times New Roman" w:hAnsi="Times New Roman"/>
                <w:sz w:val="16"/>
              </w:rPr>
              <w:t>168</w:t>
            </w:r>
          </w:p>
        </w:tc>
        <w:tc>
          <w:tcPr>
            <w:tcW w:type="dxa" w:w="1050"/>
            <w:vAlign w:val="center"/>
            <w:tcMar>
              <w:top w:w="70" w:type="dxa"/>
              <w:start w:w="90" w:type="dxa"/>
              <w:bottom w:w="70" w:type="dxa"/>
              <w:end w:w="90" w:type="dxa"/>
            </w:tcMar>
          </w:tcPr>
          <w:p>
            <w:pPr>
              <w:spacing w:after="0" w:line="240" w:lineRule="auto"/>
              <w:jc w:val="center"/>
            </w:pPr>
            <w:r>
              <w:rPr>
                <w:rFonts w:ascii="Times New Roman" w:hAnsi="Times New Roman"/>
                <w:sz w:val="16"/>
              </w:rPr>
              <w:t>168.6</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6"/>
              </w:rPr>
              <w:t>1.9526</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6"/>
              </w:rPr>
              <w:t>0.00000</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6"/>
              </w:rPr>
              <w:t>1.1860</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6"/>
              </w:rPr>
              <w:t>0.7670</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6"/>
              </w:rPr>
              <w:t>39.3</w:t>
            </w:r>
          </w:p>
        </w:tc>
      </w:tr>
      <w:tr>
        <w:tc>
          <w:tcPr>
            <w:tcW w:type="dxa" w:w="1150"/>
            <w:vAlign w:val="center"/>
            <w:tcMar>
              <w:top w:w="70" w:type="dxa"/>
              <w:start w:w="90" w:type="dxa"/>
              <w:bottom w:w="70" w:type="dxa"/>
              <w:end w:w="90" w:type="dxa"/>
            </w:tcMar>
          </w:tcPr>
          <w:p>
            <w:pPr>
              <w:spacing w:after="0" w:line="240" w:lineRule="auto"/>
              <w:jc w:val="center"/>
            </w:pPr>
            <w:r>
              <w:rPr>
                <w:rFonts w:ascii="Times New Roman" w:hAnsi="Times New Roman"/>
                <w:sz w:val="16"/>
              </w:rPr>
              <w:t>348</w:t>
            </w:r>
          </w:p>
        </w:tc>
        <w:tc>
          <w:tcPr>
            <w:tcW w:type="dxa" w:w="1050"/>
            <w:vAlign w:val="center"/>
            <w:tcMar>
              <w:top w:w="70" w:type="dxa"/>
              <w:start w:w="90" w:type="dxa"/>
              <w:bottom w:w="70" w:type="dxa"/>
              <w:end w:w="90" w:type="dxa"/>
            </w:tcMar>
          </w:tcPr>
          <w:p>
            <w:pPr>
              <w:spacing w:after="0" w:line="240" w:lineRule="auto"/>
              <w:jc w:val="center"/>
            </w:pPr>
            <w:r>
              <w:rPr>
                <w:rFonts w:ascii="Times New Roman" w:hAnsi="Times New Roman"/>
                <w:sz w:val="16"/>
              </w:rPr>
              <w:t>348.5</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6"/>
              </w:rPr>
              <w:t>23.3840</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6"/>
              </w:rPr>
              <w:t>0.00000</w:t>
            </w:r>
          </w:p>
        </w:tc>
        <w:tc>
          <w:tcPr>
            <w:tcW w:type="dxa" w:w="1300"/>
            <w:vAlign w:val="center"/>
            <w:tcMar>
              <w:top w:w="70" w:type="dxa"/>
              <w:start w:w="90" w:type="dxa"/>
              <w:bottom w:w="70" w:type="dxa"/>
              <w:end w:w="90" w:type="dxa"/>
            </w:tcMar>
          </w:tcPr>
          <w:p>
            <w:pPr>
              <w:spacing w:after="0" w:line="240" w:lineRule="auto"/>
              <w:jc w:val="center"/>
            </w:pPr>
            <w:r>
              <w:rPr>
                <w:rFonts w:ascii="Times New Roman" w:hAnsi="Times New Roman"/>
                <w:sz w:val="16"/>
              </w:rPr>
              <w:t>22.4300</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6"/>
              </w:rPr>
              <w:t>0.9562</w:t>
            </w:r>
          </w:p>
        </w:tc>
        <w:tc>
          <w:tcPr>
            <w:tcW w:type="dxa" w:w="1400"/>
            <w:vAlign w:val="center"/>
            <w:tcMar>
              <w:top w:w="70" w:type="dxa"/>
              <w:start w:w="90" w:type="dxa"/>
              <w:bottom w:w="70" w:type="dxa"/>
              <w:end w:w="90" w:type="dxa"/>
            </w:tcMar>
          </w:tcPr>
          <w:p>
            <w:pPr>
              <w:spacing w:after="0" w:line="240" w:lineRule="auto"/>
              <w:jc w:val="center"/>
            </w:pPr>
            <w:r>
              <w:rPr>
                <w:rFonts w:ascii="Times New Roman" w:hAnsi="Times New Roman"/>
                <w:sz w:val="16"/>
              </w:rPr>
              <w:t>4.1</w:t>
            </w:r>
          </w:p>
        </w:tc>
      </w:tr>
    </w:tbl>
    <w:p>
      <w:pPr>
        <w:pStyle w:val="BodyText"/>
        <w:keepLines w:val="0"/>
      </w:pPr>
      <w:r>
        <w:rPr>
          <w:rFonts w:ascii="Times New Roman" w:hAnsi="Times New Roman"/>
          <w:sz w:val="21"/>
        </w:rPr>
        <w:t>The Case 4 finest bin is an important numerical exception: 0.01655 kg/s escaped, but 0.1362 kg/s remained incomplete, so incomplete mass was over eight times the escaped mass for that bin. No completed escape was recorded for the 168 or 348 µm classes. The 348 µm class instead delivered 22.43 kg/s to the bottom trap, while 0.9562 kg/s remained incomplete. The raw CSV retains incomplete as a separate Fluent fate for traceability; for the reported Purnanto-consistent quality, it is added to trapped mass and treated as separated.</w:t>
      </w:r>
    </w:p>
    <w:p>
      <w:r>
        <w:br w:type="page"/>
      </w:r>
    </w:p>
    <w:p>
      <w:pPr>
        <w:pStyle w:val="Heading1"/>
      </w:pPr>
      <w:r>
        <w:t>Eulerian wall-film mechanism screening</w:t>
      </w:r>
    </w:p>
    <w:p>
      <w:pPr>
        <w:pStyle w:val="BodyText"/>
        <w:keepLines w:val="0"/>
      </w:pPr>
      <w:r>
        <w:rPr>
          <w:rFonts w:ascii="Times New Roman" w:hAnsi="Times New Roman"/>
          <w:sz w:val="21"/>
        </w:rPr>
        <w:t>The wall-film family partitioned the liquid input between Eulerian inlet liquid and DPM parcels before enabling deposition and drainage, avoiding double counting. Fluent's EWF formulation supports DPM collection, splash, edge separation and shear-driven stripping [3]. These branches are project mechanism screens, not Purnanto replication cases.</w:t>
      </w:r>
    </w:p>
    <w:p>
      <w:pPr>
        <w:keepNext/>
        <w:spacing w:after="20"/>
        <w:jc w:val="center"/>
      </w:pPr>
      <w:r>
        <w:drawing>
          <wp:inline xmlns:a="http://schemas.openxmlformats.org/drawingml/2006/main" xmlns:pic="http://schemas.openxmlformats.org/drawingml/2006/picture">
            <wp:extent cx="4160520" cy="2340292"/>
            <wp:docPr id="3" name="Picture 3" descr="ANSYS Fluent wall-film thickness contour on the vertical separator and spiral inlet, with the largest film accumulation at the inlet bend." title="ANSYS Fluent wall-film thickness contour on the vertical separator and spiral inlet, with the largest film accumulation at the inlet bend."/>
            <wp:cNvGraphicFramePr>
              <a:graphicFrameLocks noChangeAspect="1"/>
            </wp:cNvGraphicFramePr>
            <a:graphic>
              <a:graphicData uri="http://schemas.openxmlformats.org/drawingml/2006/picture">
                <pic:pic>
                  <pic:nvPicPr>
                    <pic:cNvPr id="0" name="spiral_inlet_wall_film_thickness.png"/>
                    <pic:cNvPicPr/>
                  </pic:nvPicPr>
                  <pic:blipFill>
                    <a:blip r:embed="rId15"/>
                    <a:stretch>
                      <a:fillRect/>
                    </a:stretch>
                  </pic:blipFill>
                  <pic:spPr>
                    <a:xfrm>
                      <a:off x="0" y="0"/>
                      <a:ext cx="4160520" cy="2340292"/>
                    </a:xfrm>
                    <a:prstGeom prst="rect"/>
                  </pic:spPr>
                </pic:pic>
              </a:graphicData>
            </a:graphic>
          </wp:inline>
        </w:drawing>
      </w:r>
    </w:p>
    <w:p>
      <w:pPr>
        <w:pStyle w:val="Caption"/>
        <w:keepNext/>
        <w:spacing w:before="40" w:after="80"/>
      </w:pPr>
      <w:r>
        <w:rPr>
          <w:rFonts w:ascii="Times New Roman" w:hAnsi="Times New Roman"/>
          <w:sz w:val="18"/>
        </w:rPr>
        <w:t>Figure 3. Wall-film thickness on the separator and spiral inlet. The plotted scale spans 0-3.94×10⁻⁴ m and shows the largest local accumulation at the inlet bend and first vessel-wall impact region.</w:t>
      </w:r>
    </w:p>
    <w:p>
      <w:pPr>
        <w:pStyle w:val="Caption"/>
        <w:keepNext/>
        <w:spacing w:before="40" w:after="80"/>
      </w:pPr>
      <w:r>
        <w:rPr>
          <w:rFonts w:ascii="Times New Roman" w:hAnsi="Times New Roman"/>
          <w:sz w:val="18"/>
        </w:rPr>
        <w:t>Table 4. Captured film quantities from the mechanism-screening branches.</w:t>
      </w:r>
    </w:p>
    <w:tbl>
      <w:tblPr>
        <w:tblStyle w:val="TableGrid"/>
        <w:tblW w:type="dxa" w:w="9100"/>
        <w:jc w:val="center"/>
        <w:tblLayout w:type="fixed"/>
        <w:tblLook w:firstColumn="1" w:firstRow="1" w:lastColumn="0" w:lastRow="0" w:noHBand="0" w:noVBand="1" w:val="04A0"/>
        <w:tblInd w:w="90" w:type="dxa"/>
      </w:tblPr>
      <w:tblGrid>
        <w:gridCol w:w="3600"/>
        <w:gridCol w:w="1800"/>
        <w:gridCol w:w="1800"/>
        <w:gridCol w:w="1900"/>
      </w:tblGrid>
      <w:tr>
        <w:trPr>
          <w:tblHeader/>
        </w:trPr>
        <w:tc>
          <w:tcPr>
            <w:tcW w:type="dxa" w:w="3600"/>
            <w:shd w:fill="D9EAF4"/>
            <w:vAlign w:val="center"/>
            <w:tcMar>
              <w:top w:w="70" w:type="dxa"/>
              <w:start w:w="90" w:type="dxa"/>
              <w:bottom w:w="70" w:type="dxa"/>
              <w:end w:w="90" w:type="dxa"/>
            </w:tcMar>
          </w:tcPr>
          <w:p>
            <w:pPr>
              <w:spacing w:after="0"/>
              <w:jc w:val="left"/>
            </w:pPr>
            <w:r>
              <w:rPr>
                <w:rFonts w:ascii="Times New Roman" w:hAnsi="Times New Roman"/>
                <w:b/>
                <w:sz w:val="16"/>
              </w:rPr>
              <w:t>EWF branch</w:t>
            </w:r>
          </w:p>
        </w:tc>
        <w:tc>
          <w:tcPr>
            <w:tcW w:type="dxa" w:w="1800"/>
            <w:shd w:fill="D9EAF4"/>
            <w:vAlign w:val="center"/>
            <w:tcMar>
              <w:top w:w="70" w:type="dxa"/>
              <w:start w:w="90" w:type="dxa"/>
              <w:bottom w:w="70" w:type="dxa"/>
              <w:end w:w="90" w:type="dxa"/>
            </w:tcMar>
          </w:tcPr>
          <w:p>
            <w:pPr>
              <w:spacing w:after="0"/>
              <w:jc w:val="center"/>
            </w:pPr>
            <w:r>
              <w:rPr>
                <w:rFonts w:ascii="Times New Roman" w:hAnsi="Times New Roman"/>
                <w:b/>
                <w:sz w:val="16"/>
              </w:rPr>
              <w:t>Inventory</w:t>
              <w:br/>
              <w:t>(kg)</w:t>
            </w:r>
          </w:p>
        </w:tc>
        <w:tc>
          <w:tcPr>
            <w:tcW w:type="dxa" w:w="1800"/>
            <w:shd w:fill="D9EAF4"/>
            <w:vAlign w:val="center"/>
            <w:tcMar>
              <w:top w:w="70" w:type="dxa"/>
              <w:start w:w="90" w:type="dxa"/>
              <w:bottom w:w="70" w:type="dxa"/>
              <w:end w:w="90" w:type="dxa"/>
            </w:tcMar>
          </w:tcPr>
          <w:p>
            <w:pPr>
              <w:spacing w:after="0"/>
              <w:jc w:val="center"/>
            </w:pPr>
            <w:r>
              <w:rPr>
                <w:rFonts w:ascii="Times New Roman" w:hAnsi="Times New Roman"/>
                <w:b/>
                <w:sz w:val="16"/>
              </w:rPr>
              <w:t>Maximum</w:t>
              <w:br/>
              <w:t>(mm)</w:t>
            </w:r>
          </w:p>
        </w:tc>
        <w:tc>
          <w:tcPr>
            <w:tcW w:type="dxa" w:w="1900"/>
            <w:shd w:fill="D9EAF4"/>
            <w:vAlign w:val="center"/>
            <w:tcMar>
              <w:top w:w="70" w:type="dxa"/>
              <w:start w:w="90" w:type="dxa"/>
              <w:bottom w:w="70" w:type="dxa"/>
              <w:end w:w="90" w:type="dxa"/>
            </w:tcMar>
          </w:tcPr>
          <w:p>
            <w:pPr>
              <w:spacing w:after="0"/>
              <w:jc w:val="center"/>
            </w:pPr>
            <w:r>
              <w:rPr>
                <w:rFonts w:ascii="Times New Roman" w:hAnsi="Times New Roman"/>
                <w:b/>
                <w:sz w:val="16"/>
              </w:rPr>
              <w:t>Area average</w:t>
              <w:br/>
              <w:t>(µm)</w:t>
            </w:r>
          </w:p>
        </w:tc>
      </w:tr>
      <w:tr>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6"/>
              </w:rPr>
              <w:t>Clean deposition</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6"/>
              </w:rPr>
              <w:t>0.07150</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6"/>
              </w:rPr>
              <w:t>0.152</w:t>
            </w:r>
          </w:p>
        </w:tc>
        <w:tc>
          <w:tcPr>
            <w:tcW w:type="dxa" w:w="1900"/>
            <w:vAlign w:val="center"/>
            <w:tcMar>
              <w:top w:w="70" w:type="dxa"/>
              <w:start w:w="90" w:type="dxa"/>
              <w:bottom w:w="70" w:type="dxa"/>
              <w:end w:w="90" w:type="dxa"/>
            </w:tcMar>
          </w:tcPr>
          <w:p>
            <w:pPr>
              <w:spacing w:after="0" w:line="240" w:lineRule="auto"/>
              <w:jc w:val="center"/>
            </w:pPr>
            <w:r>
              <w:rPr>
                <w:rFonts w:ascii="Times New Roman" w:hAnsi="Times New Roman"/>
                <w:sz w:val="16"/>
              </w:rPr>
              <w:t>1.211</w:t>
            </w:r>
          </w:p>
        </w:tc>
      </w:tr>
      <w:tr>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6"/>
              </w:rPr>
              <w:t>Splash only</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6"/>
              </w:rPr>
              <w:t>0.07431</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6"/>
              </w:rPr>
              <w:t>0.164</w:t>
            </w:r>
          </w:p>
        </w:tc>
        <w:tc>
          <w:tcPr>
            <w:tcW w:type="dxa" w:w="1900"/>
            <w:vAlign w:val="center"/>
            <w:tcMar>
              <w:top w:w="70" w:type="dxa"/>
              <w:start w:w="90" w:type="dxa"/>
              <w:bottom w:w="70" w:type="dxa"/>
              <w:end w:w="90" w:type="dxa"/>
            </w:tcMar>
          </w:tcPr>
          <w:p>
            <w:pPr>
              <w:spacing w:after="0" w:line="240" w:lineRule="auto"/>
              <w:jc w:val="center"/>
            </w:pPr>
            <w:r>
              <w:rPr>
                <w:rFonts w:ascii="Times New Roman" w:hAnsi="Times New Roman"/>
                <w:sz w:val="16"/>
              </w:rPr>
              <w:t>1.259</w:t>
            </w:r>
          </w:p>
        </w:tc>
      </w:tr>
      <w:tr>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6"/>
              </w:rPr>
              <w:t>Edge separation only</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6"/>
              </w:rPr>
              <w:t>0.05639</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6"/>
              </w:rPr>
              <w:t>0.123</w:t>
            </w:r>
          </w:p>
        </w:tc>
        <w:tc>
          <w:tcPr>
            <w:tcW w:type="dxa" w:w="1900"/>
            <w:vAlign w:val="center"/>
            <w:tcMar>
              <w:top w:w="70" w:type="dxa"/>
              <w:start w:w="90" w:type="dxa"/>
              <w:bottom w:w="70" w:type="dxa"/>
              <w:end w:w="90" w:type="dxa"/>
            </w:tcMar>
          </w:tcPr>
          <w:p>
            <w:pPr>
              <w:spacing w:after="0" w:line="240" w:lineRule="auto"/>
              <w:jc w:val="center"/>
            </w:pPr>
            <w:r>
              <w:rPr>
                <w:rFonts w:ascii="Times New Roman" w:hAnsi="Times New Roman"/>
                <w:sz w:val="16"/>
              </w:rPr>
              <w:t>0.955</w:t>
            </w:r>
          </w:p>
        </w:tc>
      </w:tr>
      <w:tr>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6"/>
              </w:rPr>
              <w:t>Stripping only</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6"/>
              </w:rPr>
              <w:t>0.05440</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6"/>
              </w:rPr>
              <w:t>0.121</w:t>
            </w:r>
          </w:p>
        </w:tc>
        <w:tc>
          <w:tcPr>
            <w:tcW w:type="dxa" w:w="1900"/>
            <w:vAlign w:val="center"/>
            <w:tcMar>
              <w:top w:w="70" w:type="dxa"/>
              <w:start w:w="90" w:type="dxa"/>
              <w:bottom w:w="70" w:type="dxa"/>
              <w:end w:w="90" w:type="dxa"/>
            </w:tcMar>
          </w:tcPr>
          <w:p>
            <w:pPr>
              <w:spacing w:after="0" w:line="240" w:lineRule="auto"/>
              <w:jc w:val="center"/>
            </w:pPr>
            <w:r>
              <w:rPr>
                <w:rFonts w:ascii="Times New Roman" w:hAnsi="Times New Roman"/>
                <w:sz w:val="16"/>
              </w:rPr>
              <w:t>0.921</w:t>
            </w:r>
          </w:p>
        </w:tc>
      </w:tr>
      <w:tr>
        <w:tc>
          <w:tcPr>
            <w:tcW w:type="dxa" w:w="3600"/>
            <w:vAlign w:val="center"/>
            <w:tcMar>
              <w:top w:w="70" w:type="dxa"/>
              <w:start w:w="90" w:type="dxa"/>
              <w:bottom w:w="70" w:type="dxa"/>
              <w:end w:w="90" w:type="dxa"/>
            </w:tcMar>
          </w:tcPr>
          <w:p>
            <w:pPr>
              <w:spacing w:after="0" w:line="240" w:lineRule="auto"/>
              <w:jc w:val="left"/>
            </w:pPr>
            <w:r>
              <w:rPr>
                <w:rFonts w:ascii="Times New Roman" w:hAnsi="Times New Roman"/>
                <w:sz w:val="16"/>
              </w:rPr>
              <w:t>Combined mechanisms</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6"/>
              </w:rPr>
              <w:t>0.05668</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6"/>
              </w:rPr>
              <w:t>0.125</w:t>
            </w:r>
          </w:p>
        </w:tc>
        <w:tc>
          <w:tcPr>
            <w:tcW w:type="dxa" w:w="1900"/>
            <w:vAlign w:val="center"/>
            <w:tcMar>
              <w:top w:w="70" w:type="dxa"/>
              <w:start w:w="90" w:type="dxa"/>
              <w:bottom w:w="70" w:type="dxa"/>
              <w:end w:w="90" w:type="dxa"/>
            </w:tcMar>
          </w:tcPr>
          <w:p>
            <w:pPr>
              <w:spacing w:after="0" w:line="240" w:lineRule="auto"/>
              <w:jc w:val="center"/>
            </w:pPr>
            <w:r>
              <w:rPr>
                <w:rFonts w:ascii="Times New Roman" w:hAnsi="Times New Roman"/>
                <w:sz w:val="16"/>
              </w:rPr>
              <w:t>0.960</w:t>
            </w:r>
          </w:p>
        </w:tc>
      </w:tr>
    </w:tbl>
    <w:p>
      <w:pPr>
        <w:pStyle w:val="BodyText"/>
        <w:keepLines w:val="0"/>
      </w:pPr>
      <w:r>
        <w:rPr>
          <w:rFonts w:ascii="Times New Roman" w:hAnsi="Times New Roman"/>
          <w:sz w:val="21"/>
        </w:rPr>
        <w:t>Relative to the clean deposition control, splash increased inventory by 3.9% and maximum thickness by 7.9%, whereas edge separation and stripping reduced inventory by 21.1% and 23.9%, respectively. In the combined EWF branch, enabling global DPM interaction increased inventory, maximum thickness and area-average thickness by 41%, and increased derived mean film speed from 0.0533 to 0.0684 m/s (+28%). The interaction-on state also increased coarse-class splash events from 20 to 44, edge-separation events from 120 to 188, and introduced seven stripping events. Values are transcribed from the project's captured Fluent snapshots and were not rerun within the six-case sweep.</w:t>
      </w:r>
    </w:p>
    <w:p>
      <w:pPr>
        <w:pStyle w:val="BodyText"/>
        <w:keepLines w:val="0"/>
      </w:pPr>
      <w:r>
        <w:rPr>
          <w:rFonts w:ascii="Times New Roman" w:hAnsi="Times New Roman"/>
          <w:sz w:val="21"/>
        </w:rPr>
        <w:t>Event counts are not equivalent to re-entrained liquid mass. They demonstrate that the selected wall model changes the assigned liquid pathway, but a quantitative carryover claim requires the generated secondary parcels to be mass-accounted and compared from matched initial film states and physical times.</w:t>
      </w:r>
    </w:p>
    <w:p>
      <w:r>
        <w:br w:type="page"/>
      </w:r>
    </w:p>
    <w:p>
      <w:pPr>
        <w:pStyle w:val="Heading1"/>
      </w:pPr>
      <w:r>
        <w:t>Technical interpretation and limitations</w:t>
      </w:r>
    </w:p>
    <w:p>
      <w:pPr>
        <w:pStyle w:val="Heading2"/>
      </w:pPr>
      <w:r>
        <w:t>Iteration completion versus convergence</w:t>
      </w:r>
    </w:p>
    <w:p>
      <w:pPr>
        <w:pStyle w:val="BodyText"/>
        <w:keepLines w:val="0"/>
      </w:pPr>
      <w:r>
        <w:rPr>
          <w:rFonts w:ascii="Times New Roman" w:hAnsi="Times New Roman"/>
          <w:sz w:val="21"/>
        </w:rPr>
        <w:t>Every spiral case contains 1500 residual-history points and passed the workflow’s setup, save and DPM mass-closure checks. However, fixed iteration count is not convergence evidence. Final scaled continuity residuals remain between 0.145 and 0.229, far above the configured 10⁻⁴ criterion, while momentum residuals are approximately 1.1×10⁻⁵ to 1.7×10⁻⁵. The carrier fields are iteration-complete but not strictly converged.</w:t>
      </w:r>
    </w:p>
    <w:p>
      <w:pPr>
        <w:pStyle w:val="Caption"/>
        <w:keepNext/>
        <w:spacing w:before="40" w:after="80"/>
      </w:pPr>
      <w:r>
        <w:rPr>
          <w:rFonts w:ascii="Times New Roman" w:hAnsi="Times New Roman"/>
          <w:sz w:val="18"/>
        </w:rPr>
        <w:t>Table 5. Final scaled residuals after 1500 iterations.</w:t>
      </w:r>
    </w:p>
    <w:tbl>
      <w:tblPr>
        <w:tblStyle w:val="TableGrid"/>
        <w:tblW w:type="dxa" w:w="9100"/>
        <w:jc w:val="center"/>
        <w:tblLayout w:type="fixed"/>
        <w:tblLook w:firstColumn="1" w:firstRow="1" w:lastColumn="0" w:lastRow="0" w:noHBand="0" w:noVBand="1" w:val="04A0"/>
        <w:tblInd w:w="90" w:type="dxa"/>
      </w:tblPr>
      <w:tblGrid>
        <w:gridCol w:w="1200"/>
        <w:gridCol w:w="2100"/>
        <w:gridCol w:w="2900"/>
        <w:gridCol w:w="2900"/>
      </w:tblGrid>
      <w:tr>
        <w:trPr>
          <w:tblHeader/>
        </w:trPr>
        <w:tc>
          <w:tcPr>
            <w:tcW w:type="dxa" w:w="1200"/>
            <w:shd w:fill="D9EAF4"/>
            <w:vAlign w:val="center"/>
            <w:tcMar>
              <w:top w:w="70" w:type="dxa"/>
              <w:start w:w="90" w:type="dxa"/>
              <w:bottom w:w="70" w:type="dxa"/>
              <w:end w:w="90" w:type="dxa"/>
            </w:tcMar>
          </w:tcPr>
          <w:p>
            <w:pPr>
              <w:spacing w:after="0"/>
              <w:jc w:val="center"/>
            </w:pPr>
            <w:r>
              <w:rPr>
                <w:rFonts w:ascii="Times New Roman" w:hAnsi="Times New Roman"/>
                <w:b/>
                <w:sz w:val="16"/>
              </w:rPr>
              <w:t>Case</w:t>
            </w:r>
          </w:p>
        </w:tc>
        <w:tc>
          <w:tcPr>
            <w:tcW w:type="dxa" w:w="2100"/>
            <w:shd w:fill="D9EAF4"/>
            <w:vAlign w:val="center"/>
            <w:tcMar>
              <w:top w:w="70" w:type="dxa"/>
              <w:start w:w="90" w:type="dxa"/>
              <w:bottom w:w="70" w:type="dxa"/>
              <w:end w:w="90" w:type="dxa"/>
            </w:tcMar>
          </w:tcPr>
          <w:p>
            <w:pPr>
              <w:spacing w:after="0"/>
              <w:jc w:val="center"/>
            </w:pPr>
            <w:r>
              <w:rPr>
                <w:rFonts w:ascii="Times New Roman" w:hAnsi="Times New Roman"/>
                <w:b/>
                <w:sz w:val="16"/>
              </w:rPr>
              <w:t>Continuity</w:t>
            </w:r>
          </w:p>
        </w:tc>
        <w:tc>
          <w:tcPr>
            <w:tcW w:type="dxa" w:w="2900"/>
            <w:shd w:fill="D9EAF4"/>
            <w:vAlign w:val="center"/>
            <w:tcMar>
              <w:top w:w="70" w:type="dxa"/>
              <w:start w:w="90" w:type="dxa"/>
              <w:bottom w:w="70" w:type="dxa"/>
              <w:end w:w="90" w:type="dxa"/>
            </w:tcMar>
          </w:tcPr>
          <w:p>
            <w:pPr>
              <w:spacing w:after="0"/>
              <w:jc w:val="center"/>
            </w:pPr>
            <w:r>
              <w:rPr>
                <w:rFonts w:ascii="Times New Roman" w:hAnsi="Times New Roman"/>
                <w:b/>
                <w:sz w:val="16"/>
              </w:rPr>
              <w:t>Liquid volume fraction</w:t>
            </w:r>
          </w:p>
        </w:tc>
        <w:tc>
          <w:tcPr>
            <w:tcW w:type="dxa" w:w="2900"/>
            <w:shd w:fill="D9EAF4"/>
            <w:vAlign w:val="center"/>
            <w:tcMar>
              <w:top w:w="70" w:type="dxa"/>
              <w:start w:w="90" w:type="dxa"/>
              <w:bottom w:w="70" w:type="dxa"/>
              <w:end w:w="90" w:type="dxa"/>
            </w:tcMar>
          </w:tcPr>
          <w:p>
            <w:pPr>
              <w:spacing w:after="0"/>
              <w:jc w:val="center"/>
            </w:pPr>
            <w:r>
              <w:rPr>
                <w:rFonts w:ascii="Times New Roman" w:hAnsi="Times New Roman"/>
                <w:b/>
                <w:sz w:val="16"/>
              </w:rPr>
              <w:t>Maximum momentum</w:t>
            </w:r>
          </w:p>
        </w:tc>
      </w:tr>
      <w:tr>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6"/>
              </w:rPr>
              <w:t>1</w:t>
            </w:r>
          </w:p>
        </w:tc>
        <w:tc>
          <w:tcPr>
            <w:tcW w:type="dxa" w:w="2100"/>
            <w:vAlign w:val="center"/>
            <w:tcMar>
              <w:top w:w="70" w:type="dxa"/>
              <w:start w:w="90" w:type="dxa"/>
              <w:bottom w:w="70" w:type="dxa"/>
              <w:end w:w="90" w:type="dxa"/>
            </w:tcMar>
          </w:tcPr>
          <w:p>
            <w:pPr>
              <w:spacing w:after="0" w:line="240" w:lineRule="auto"/>
              <w:jc w:val="center"/>
            </w:pPr>
            <w:r>
              <w:rPr>
                <w:rFonts w:ascii="Times New Roman" w:hAnsi="Times New Roman"/>
                <w:sz w:val="16"/>
              </w:rPr>
              <w:t>0.185</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8.40e-04</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1.33e-05</w:t>
            </w:r>
          </w:p>
        </w:tc>
      </w:tr>
      <w:tr>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6"/>
              </w:rPr>
              <w:t>2</w:t>
            </w:r>
          </w:p>
        </w:tc>
        <w:tc>
          <w:tcPr>
            <w:tcW w:type="dxa" w:w="2100"/>
            <w:vAlign w:val="center"/>
            <w:tcMar>
              <w:top w:w="70" w:type="dxa"/>
              <w:start w:w="90" w:type="dxa"/>
              <w:bottom w:w="70" w:type="dxa"/>
              <w:end w:w="90" w:type="dxa"/>
            </w:tcMar>
          </w:tcPr>
          <w:p>
            <w:pPr>
              <w:spacing w:after="0" w:line="240" w:lineRule="auto"/>
              <w:jc w:val="center"/>
            </w:pPr>
            <w:r>
              <w:rPr>
                <w:rFonts w:ascii="Times New Roman" w:hAnsi="Times New Roman"/>
                <w:sz w:val="16"/>
              </w:rPr>
              <w:t>0.229</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9.51e-04</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1.66e-05</w:t>
            </w:r>
          </w:p>
        </w:tc>
      </w:tr>
      <w:tr>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6"/>
              </w:rPr>
              <w:t>3</w:t>
            </w:r>
          </w:p>
        </w:tc>
        <w:tc>
          <w:tcPr>
            <w:tcW w:type="dxa" w:w="2100"/>
            <w:vAlign w:val="center"/>
            <w:tcMar>
              <w:top w:w="70" w:type="dxa"/>
              <w:start w:w="90" w:type="dxa"/>
              <w:bottom w:w="70" w:type="dxa"/>
              <w:end w:w="90" w:type="dxa"/>
            </w:tcMar>
          </w:tcPr>
          <w:p>
            <w:pPr>
              <w:spacing w:after="0" w:line="240" w:lineRule="auto"/>
              <w:jc w:val="center"/>
            </w:pPr>
            <w:r>
              <w:rPr>
                <w:rFonts w:ascii="Times New Roman" w:hAnsi="Times New Roman"/>
                <w:sz w:val="16"/>
              </w:rPr>
              <w:t>0.204</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8.90e-04</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1.45e-05</w:t>
            </w:r>
          </w:p>
        </w:tc>
      </w:tr>
      <w:tr>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6"/>
              </w:rPr>
              <w:t>4</w:t>
            </w:r>
          </w:p>
        </w:tc>
        <w:tc>
          <w:tcPr>
            <w:tcW w:type="dxa" w:w="2100"/>
            <w:vAlign w:val="center"/>
            <w:tcMar>
              <w:top w:w="70" w:type="dxa"/>
              <w:start w:w="90" w:type="dxa"/>
              <w:bottom w:w="70" w:type="dxa"/>
              <w:end w:w="90" w:type="dxa"/>
            </w:tcMar>
          </w:tcPr>
          <w:p>
            <w:pPr>
              <w:spacing w:after="0" w:line="240" w:lineRule="auto"/>
              <w:jc w:val="center"/>
            </w:pPr>
            <w:r>
              <w:rPr>
                <w:rFonts w:ascii="Times New Roman" w:hAnsi="Times New Roman"/>
                <w:sz w:val="16"/>
              </w:rPr>
              <w:t>0.200</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8.70e-04</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1.50e-05</w:t>
            </w:r>
          </w:p>
        </w:tc>
      </w:tr>
      <w:tr>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6"/>
              </w:rPr>
              <w:t>5</w:t>
            </w:r>
          </w:p>
        </w:tc>
        <w:tc>
          <w:tcPr>
            <w:tcW w:type="dxa" w:w="2100"/>
            <w:vAlign w:val="center"/>
            <w:tcMar>
              <w:top w:w="70" w:type="dxa"/>
              <w:start w:w="90" w:type="dxa"/>
              <w:bottom w:w="70" w:type="dxa"/>
              <w:end w:w="90" w:type="dxa"/>
            </w:tcMar>
          </w:tcPr>
          <w:p>
            <w:pPr>
              <w:spacing w:after="0" w:line="240" w:lineRule="auto"/>
              <w:jc w:val="center"/>
            </w:pPr>
            <w:r>
              <w:rPr>
                <w:rFonts w:ascii="Times New Roman" w:hAnsi="Times New Roman"/>
                <w:sz w:val="16"/>
              </w:rPr>
              <w:t>0.162</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8.38e-04</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1.19e-05</w:t>
            </w:r>
          </w:p>
        </w:tc>
      </w:tr>
      <w:tr>
        <w:tc>
          <w:tcPr>
            <w:tcW w:type="dxa" w:w="1200"/>
            <w:vAlign w:val="center"/>
            <w:tcMar>
              <w:top w:w="70" w:type="dxa"/>
              <w:start w:w="90" w:type="dxa"/>
              <w:bottom w:w="70" w:type="dxa"/>
              <w:end w:w="90" w:type="dxa"/>
            </w:tcMar>
          </w:tcPr>
          <w:p>
            <w:pPr>
              <w:spacing w:after="0" w:line="240" w:lineRule="auto"/>
              <w:jc w:val="center"/>
            </w:pPr>
            <w:r>
              <w:rPr>
                <w:rFonts w:ascii="Times New Roman" w:hAnsi="Times New Roman"/>
                <w:sz w:val="16"/>
              </w:rPr>
              <w:t>6</w:t>
            </w:r>
          </w:p>
        </w:tc>
        <w:tc>
          <w:tcPr>
            <w:tcW w:type="dxa" w:w="2100"/>
            <w:vAlign w:val="center"/>
            <w:tcMar>
              <w:top w:w="70" w:type="dxa"/>
              <w:start w:w="90" w:type="dxa"/>
              <w:bottom w:w="70" w:type="dxa"/>
              <w:end w:w="90" w:type="dxa"/>
            </w:tcMar>
          </w:tcPr>
          <w:p>
            <w:pPr>
              <w:spacing w:after="0" w:line="240" w:lineRule="auto"/>
              <w:jc w:val="center"/>
            </w:pPr>
            <w:r>
              <w:rPr>
                <w:rFonts w:ascii="Times New Roman" w:hAnsi="Times New Roman"/>
                <w:sz w:val="16"/>
              </w:rPr>
              <w:t>0.145</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8.57e-04</w:t>
            </w:r>
          </w:p>
        </w:tc>
        <w:tc>
          <w:tcPr>
            <w:tcW w:type="dxa" w:w="2900"/>
            <w:vAlign w:val="center"/>
            <w:tcMar>
              <w:top w:w="70" w:type="dxa"/>
              <w:start w:w="90" w:type="dxa"/>
              <w:bottom w:w="70" w:type="dxa"/>
              <w:end w:w="90" w:type="dxa"/>
            </w:tcMar>
          </w:tcPr>
          <w:p>
            <w:pPr>
              <w:spacing w:after="0" w:line="240" w:lineRule="auto"/>
              <w:jc w:val="center"/>
            </w:pPr>
            <w:r>
              <w:rPr>
                <w:rFonts w:ascii="Times New Roman" w:hAnsi="Times New Roman"/>
                <w:sz w:val="16"/>
              </w:rPr>
              <w:t>1.19e-05</w:t>
            </w:r>
          </w:p>
        </w:tc>
      </w:tr>
    </w:tbl>
    <w:p>
      <w:pPr>
        <w:pStyle w:val="Heading2"/>
      </w:pPr>
      <w:r>
        <w:t>Treatment of incomplete trajectories</w:t>
      </w:r>
    </w:p>
    <w:p>
      <w:pPr>
        <w:pStyle w:val="BodyText"/>
        <w:keepLines w:val="0"/>
      </w:pPr>
      <w:r>
        <w:rPr>
          <w:rFonts w:ascii="Times New Roman" w:hAnsi="Times New Roman"/>
          <w:sz w:val="21"/>
        </w:rPr>
        <w:t>Incomplete liquid increases from 2.4% to 6.6% across the six spiral cases and is substantially larger than escaped liquid. Fluent defines an incomplete fate numerically: the maximum tracking-step limit was reached [4]. Purnanto encountered the same issue and assumed incomplete particles were separated to obtain a quality estimate [1]. The present report uses the same convention: all incomplete mass is combined with trapped mass, and only escaped mass is counted as liquid carryover. The separate incomplete field is retained to quantify tracking resolution and sensitivity to the maximum-step setting.</w:t>
      </w:r>
    </w:p>
    <w:p>
      <w:pPr>
        <w:pStyle w:val="Heading2"/>
      </w:pPr>
      <w:r>
        <w:t>Evidence boundary</w:t>
      </w:r>
    </w:p>
    <w:p>
      <w:pPr>
        <w:pStyle w:val="BodyText"/>
        <w:keepLines w:val="0"/>
      </w:pPr>
      <w:r>
        <w:rPr>
          <w:rFonts w:ascii="Times New Roman" w:hAnsi="Times New Roman"/>
          <w:sz w:val="21"/>
        </w:rPr>
        <w:t>The completed sweep establishes a reproducible numerical pipeline and a size-selective carryover mechanism, but it does not validate separator efficiency. The exact nine-bin mass allocation is reconstructed because Purnanto did not publish the original injection table or CAD-ready scroll definition; the model is isothermal and omits flashing, breakup and coalescence; steam quality uses prescribed inlet steam and Purnanto's incomplete-as-separated convention rather than an audited outlet vapour monitor; and the reference trend is not recovered. The defensible mid-year result is therefore sensitivity to droplet size and wall treatment, not validated efficiency.</w:t>
      </w:r>
    </w:p>
    <w:p>
      <w:pPr>
        <w:pStyle w:val="Heading2"/>
      </w:pPr>
      <w:r>
        <w:t>Technical verification required before final validation</w:t>
      </w:r>
    </w:p>
    <w:p>
      <w:pPr>
        <w:pStyle w:val="BodyText"/>
        <w:keepLines w:val="0"/>
      </w:pPr>
      <w:r>
        <w:rPr>
          <w:rFonts w:ascii="Times New Roman" w:hAnsi="Times New Roman"/>
          <w:sz w:val="21"/>
        </w:rPr>
        <w:t>The next numerical checks are to extend the carrier solutions while monitoring integral outlet mass flow and pressure drop, export incomplete-particle endpoints, repeat DPM tracking across step-length and stochastic-dispersion settings, and audit quality against Fluent outlet vapour flow. One representative case should also test mesh and RSM sensitivity; experiment-backed cyclone work uses RSM-DPM for anisotropic rotating flow, although its air-water values are not transferable here [5]. EWF interaction-off/on cases must be rerun from a common film state and physical time.</w:t>
      </w:r>
    </w:p>
    <w:p>
      <w:pPr>
        <w:pStyle w:val="Caption"/>
        <w:spacing w:before="100"/>
      </w:pPr>
      <w:r>
        <w:rPr>
          <w:rFonts w:ascii="Times New Roman" w:hAnsi="Times New Roman"/>
          <w:sz w:val="15"/>
        </w:rPr>
        <w:t>References: [1] Purnanto, Zarrouk &amp; Cater (2013), IPENZ Transactions 40, 1-10. [2] Zarrouk &amp; Purnanto (2014), Geothermics 53, 236-254, doi:10.1016/j.geothermics.2014.05.009. [3] Ansys Fluent Theory Guide 2025 R2, §§17.1-17.2.1.</w:t>
      </w:r>
    </w:p>
    <w:p>
      <w:pPr>
        <w:pStyle w:val="Caption"/>
        <w:spacing w:before="0" w:after="0"/>
      </w:pPr>
      <w:r>
        <w:rPr>
          <w:rFonts w:ascii="Times New Roman" w:hAnsi="Times New Roman"/>
          <w:sz w:val="15"/>
        </w:rPr>
        <w:t>[4] Ansys Fluent User's Guide 2025 R2, §§24.2.3 and 25.9.3. [5] Chen et al. (2025), Processes 13, 3732, doi:10.3390/pr13113732.</w:t>
      </w:r>
    </w:p>
    <w:sectPr w:rsidR="00D304A8" w:rsidRPr="00416340" w:rsidSect="00D01F25">
      <w:headerReference w:type="default" r:id="rId12"/>
      <w:pgSz w:w="11906" w:h="16838"/>
      <w:pgMar w:top="1134" w:right="1417" w:bottom="1134" w:left="1417" w:header="283" w:footer="52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9E9070" w14:textId="77777777" w:rsidR="00771F97" w:rsidRPr="00416340" w:rsidRDefault="00771F97">
      <w:r w:rsidRPr="00416340">
        <w:separator/>
      </w:r>
    </w:p>
  </w:endnote>
  <w:endnote w:type="continuationSeparator" w:id="0">
    <w:p w14:paraId="71249230" w14:textId="77777777" w:rsidR="00771F97" w:rsidRPr="00416340" w:rsidRDefault="00771F97">
      <w:r w:rsidRPr="004163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MS Gothic">
    <w:altName w:val="ＭＳ ゴシック"/>
    <w:panose1 w:val="020B0609070205080204"/>
    <w:charset w:val="80"/>
    <w:family w:val="moder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81379021"/>
      <w:docPartObj>
        <w:docPartGallery w:val="Page Numbers (Bottom of Page)"/>
        <w:docPartUnique/>
      </w:docPartObj>
    </w:sdtPr>
    <w:sdtEndPr/>
    <w:sdtContent>
      <w:p w14:paraId="33F9A438" w14:textId="0D3BD639" w:rsidR="00291DBC" w:rsidRPr="00416340" w:rsidRDefault="00416340" w:rsidP="00416340">
        <w:pPr>
          <w:pStyle w:val="Footer"/>
          <w:jc w:val="center"/>
        </w:pPr>
        <w:r w:rsidRPr="00416340">
          <w:fldChar w:fldCharType="begin"/>
        </w:r>
        <w:r w:rsidRPr="00416340">
          <w:instrText xml:space="preserve"> PAGE   \* MERGEFORMAT </w:instrText>
        </w:r>
        <w:r w:rsidRPr="00416340">
          <w:fldChar w:fldCharType="separate"/>
        </w:r>
        <w:r w:rsidRPr="00416340">
          <w:t>2</w:t>
        </w:r>
        <w:r w:rsidRPr="00416340">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A9CF10" w14:textId="77777777" w:rsidR="00771F97" w:rsidRPr="00416340" w:rsidRDefault="00771F97">
      <w:r w:rsidRPr="00416340">
        <w:separator/>
      </w:r>
    </w:p>
  </w:footnote>
  <w:footnote w:type="continuationSeparator" w:id="0">
    <w:p w14:paraId="24476CD1" w14:textId="77777777" w:rsidR="00771F97" w:rsidRPr="00416340" w:rsidRDefault="00771F97">
      <w:r w:rsidRPr="004163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2E88B" w14:textId="4CEB7E15" w:rsidR="00D01F25" w:rsidRDefault="00D01F25">
    <w:pPr>
      <w:pStyle w:val="Header"/>
    </w:pPr>
    <w:r>
      <w:t>Research Project Report</w:t>
    </w:r>
    <w:r>
      <w:ptab w:relativeTo="margin" w:alignment="center" w:leader="none"/>
    </w:r>
    <w:r>
      <w:ptab w:relativeTo="margin" w:alignment="right" w:leader="none"/>
    </w:r>
    <w:r>
      <w:t>[UPI or Student ID]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left"/>
      </w:tabs>
      <w:jc w:val="left"/>
    </w:pPr>
    <w:r>
      <w:rPr>
        <w:rFonts w:ascii="Times New Roman" w:hAnsi="Times New Roman"/>
        <w:sz w:val="18"/>
      </w:rPr>
      <w:t>Mid-Year Technical Report</w:t>
    </w:r>
    <w:r>
      <w:tab/>
    </w:r>
    <w:r>
      <w:rPr>
        <w:rFonts w:ascii="Times New Roman" w:hAnsi="Times New Roman"/>
        <w:sz w:val="18"/>
      </w:rPr>
      <w:t>Geothermal Separator CFD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7FB0EA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87E43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86CE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15625C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A761C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C961E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E853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A2EE4D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007B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98092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D24CC"/>
    <w:multiLevelType w:val="hybridMultilevel"/>
    <w:tmpl w:val="C3CC1DC8"/>
    <w:lvl w:ilvl="0" w:tplc="AAE465C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19A454FC"/>
    <w:multiLevelType w:val="hybridMultilevel"/>
    <w:tmpl w:val="D702EEDA"/>
    <w:lvl w:ilvl="0" w:tplc="9BF69F2C">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1CCC70C5"/>
    <w:multiLevelType w:val="multilevel"/>
    <w:tmpl w:val="3EAE2E98"/>
    <w:lvl w:ilvl="0">
      <w:start w:val="1"/>
      <w:numFmt w:val="decimal"/>
      <w:pStyle w:val="Heading1"/>
      <w:lvlText w:val="%1."/>
      <w:lvlJc w:val="left"/>
      <w:pPr>
        <w:tabs>
          <w:tab w:val="num" w:pos="567"/>
        </w:tabs>
        <w:ind w:left="360" w:hanging="360"/>
      </w:pPr>
      <w:rPr>
        <w:rFonts w:hint="default"/>
        <w:sz w:val="32"/>
        <w:szCs w:val="32"/>
      </w:rPr>
    </w:lvl>
    <w:lvl w:ilvl="1">
      <w:start w:val="1"/>
      <w:numFmt w:val="decimal"/>
      <w:pStyle w:val="Heading2"/>
      <w:lvlText w:val="%1.%2."/>
      <w:lvlJc w:val="left"/>
      <w:pPr>
        <w:tabs>
          <w:tab w:val="num" w:pos="567"/>
        </w:tabs>
        <w:ind w:left="0" w:firstLine="0"/>
      </w:pPr>
    </w:lvl>
    <w:lvl w:ilvl="2">
      <w:start w:val="1"/>
      <w:numFmt w:val="decimal"/>
      <w:pStyle w:val="Heading3"/>
      <w:lvlText w:val="%1.%2.%3."/>
      <w:lvlJc w:val="left"/>
      <w:pPr>
        <w:ind w:left="0" w:firstLine="0"/>
      </w:pPr>
    </w:lvl>
    <w:lvl w:ilvl="3">
      <w:start w:val="1"/>
      <w:numFmt w:val="decimal"/>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AA26F0"/>
    <w:multiLevelType w:val="hybridMultilevel"/>
    <w:tmpl w:val="3AD6AA86"/>
    <w:lvl w:ilvl="0" w:tplc="14090001">
      <w:start w:val="1"/>
      <w:numFmt w:val="bullet"/>
      <w:lvlText w:val=""/>
      <w:lvlJc w:val="left"/>
      <w:pPr>
        <w:ind w:left="720" w:hanging="360"/>
      </w:pPr>
      <w:rPr>
        <w:rFonts w:ascii="Symbol" w:eastAsia="Times New Roman"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6E42255"/>
    <w:multiLevelType w:val="hybridMultilevel"/>
    <w:tmpl w:val="0930C52C"/>
    <w:lvl w:ilvl="0" w:tplc="D57CA012">
      <w:start w:val="1"/>
      <w:numFmt w:val="decimal"/>
      <w:pStyle w:val="ListText"/>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27371A7E"/>
    <w:multiLevelType w:val="hybridMultilevel"/>
    <w:tmpl w:val="1B1434EA"/>
    <w:lvl w:ilvl="0" w:tplc="7952CC9C">
      <w:start w:val="11"/>
      <w:numFmt w:val="decimal"/>
      <w:lvlText w:val="%1"/>
      <w:lvlJc w:val="left"/>
      <w:pPr>
        <w:ind w:left="487" w:hanging="370"/>
      </w:pPr>
      <w:rPr>
        <w:rFonts w:ascii="Times New Roman" w:eastAsia="Times New Roman" w:hAnsi="Times New Roman" w:cs="Times New Roman" w:hint="default"/>
        <w:w w:val="99"/>
        <w:sz w:val="16"/>
        <w:szCs w:val="16"/>
      </w:rPr>
    </w:lvl>
    <w:lvl w:ilvl="1" w:tplc="220A5D2C">
      <w:numFmt w:val="bullet"/>
      <w:lvlText w:val="•"/>
      <w:lvlJc w:val="left"/>
      <w:pPr>
        <w:ind w:left="1398" w:hanging="370"/>
      </w:pPr>
      <w:rPr>
        <w:rFonts w:hint="default"/>
      </w:rPr>
    </w:lvl>
    <w:lvl w:ilvl="2" w:tplc="D046ADD6">
      <w:numFmt w:val="bullet"/>
      <w:lvlText w:val="•"/>
      <w:lvlJc w:val="left"/>
      <w:pPr>
        <w:ind w:left="2317" w:hanging="370"/>
      </w:pPr>
      <w:rPr>
        <w:rFonts w:hint="default"/>
      </w:rPr>
    </w:lvl>
    <w:lvl w:ilvl="3" w:tplc="7BCE031A">
      <w:numFmt w:val="bullet"/>
      <w:lvlText w:val="•"/>
      <w:lvlJc w:val="left"/>
      <w:pPr>
        <w:ind w:left="3235" w:hanging="370"/>
      </w:pPr>
      <w:rPr>
        <w:rFonts w:hint="default"/>
      </w:rPr>
    </w:lvl>
    <w:lvl w:ilvl="4" w:tplc="536A7F00">
      <w:numFmt w:val="bullet"/>
      <w:lvlText w:val="•"/>
      <w:lvlJc w:val="left"/>
      <w:pPr>
        <w:ind w:left="4154" w:hanging="370"/>
      </w:pPr>
      <w:rPr>
        <w:rFonts w:hint="default"/>
      </w:rPr>
    </w:lvl>
    <w:lvl w:ilvl="5" w:tplc="8CD8C83C">
      <w:numFmt w:val="bullet"/>
      <w:lvlText w:val="•"/>
      <w:lvlJc w:val="left"/>
      <w:pPr>
        <w:ind w:left="5072" w:hanging="370"/>
      </w:pPr>
      <w:rPr>
        <w:rFonts w:hint="default"/>
      </w:rPr>
    </w:lvl>
    <w:lvl w:ilvl="6" w:tplc="36EA2240">
      <w:numFmt w:val="bullet"/>
      <w:lvlText w:val="•"/>
      <w:lvlJc w:val="left"/>
      <w:pPr>
        <w:ind w:left="5991" w:hanging="370"/>
      </w:pPr>
      <w:rPr>
        <w:rFonts w:hint="default"/>
      </w:rPr>
    </w:lvl>
    <w:lvl w:ilvl="7" w:tplc="323EFF46">
      <w:numFmt w:val="bullet"/>
      <w:lvlText w:val="•"/>
      <w:lvlJc w:val="left"/>
      <w:pPr>
        <w:ind w:left="6909" w:hanging="370"/>
      </w:pPr>
      <w:rPr>
        <w:rFonts w:hint="default"/>
      </w:rPr>
    </w:lvl>
    <w:lvl w:ilvl="8" w:tplc="B05EB3BE">
      <w:numFmt w:val="bullet"/>
      <w:lvlText w:val="•"/>
      <w:lvlJc w:val="left"/>
      <w:pPr>
        <w:ind w:left="7828" w:hanging="370"/>
      </w:pPr>
      <w:rPr>
        <w:rFonts w:hint="default"/>
      </w:rPr>
    </w:lvl>
  </w:abstractNum>
  <w:abstractNum w:abstractNumId="16" w15:restartNumberingAfterBreak="0">
    <w:nsid w:val="2CE9163A"/>
    <w:multiLevelType w:val="hybridMultilevel"/>
    <w:tmpl w:val="32763EE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311A7418"/>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D60028"/>
    <w:multiLevelType w:val="hybridMultilevel"/>
    <w:tmpl w:val="597AF1C4"/>
    <w:lvl w:ilvl="0" w:tplc="70E0A83E">
      <w:start w:val="1"/>
      <w:numFmt w:val="decimal"/>
      <w:lvlText w:val="%1"/>
      <w:lvlJc w:val="left"/>
      <w:pPr>
        <w:ind w:left="487" w:hanging="290"/>
      </w:pPr>
      <w:rPr>
        <w:rFonts w:ascii="Times New Roman" w:eastAsia="Times New Roman" w:hAnsi="Times New Roman" w:cs="Times New Roman" w:hint="default"/>
        <w:w w:val="99"/>
        <w:sz w:val="16"/>
        <w:szCs w:val="16"/>
      </w:rPr>
    </w:lvl>
    <w:lvl w:ilvl="1" w:tplc="ECD8D2A4">
      <w:numFmt w:val="bullet"/>
      <w:lvlText w:val="•"/>
      <w:lvlJc w:val="left"/>
      <w:pPr>
        <w:ind w:left="1398" w:hanging="290"/>
      </w:pPr>
      <w:rPr>
        <w:rFonts w:hint="default"/>
      </w:rPr>
    </w:lvl>
    <w:lvl w:ilvl="2" w:tplc="731A3882">
      <w:numFmt w:val="bullet"/>
      <w:lvlText w:val="•"/>
      <w:lvlJc w:val="left"/>
      <w:pPr>
        <w:ind w:left="2317" w:hanging="290"/>
      </w:pPr>
      <w:rPr>
        <w:rFonts w:hint="default"/>
      </w:rPr>
    </w:lvl>
    <w:lvl w:ilvl="3" w:tplc="3912B3AE">
      <w:numFmt w:val="bullet"/>
      <w:lvlText w:val="•"/>
      <w:lvlJc w:val="left"/>
      <w:pPr>
        <w:ind w:left="3235" w:hanging="290"/>
      </w:pPr>
      <w:rPr>
        <w:rFonts w:hint="default"/>
      </w:rPr>
    </w:lvl>
    <w:lvl w:ilvl="4" w:tplc="C7F485DC">
      <w:numFmt w:val="bullet"/>
      <w:lvlText w:val="•"/>
      <w:lvlJc w:val="left"/>
      <w:pPr>
        <w:ind w:left="4154" w:hanging="290"/>
      </w:pPr>
      <w:rPr>
        <w:rFonts w:hint="default"/>
      </w:rPr>
    </w:lvl>
    <w:lvl w:ilvl="5" w:tplc="C0E0D71C">
      <w:numFmt w:val="bullet"/>
      <w:lvlText w:val="•"/>
      <w:lvlJc w:val="left"/>
      <w:pPr>
        <w:ind w:left="5072" w:hanging="290"/>
      </w:pPr>
      <w:rPr>
        <w:rFonts w:hint="default"/>
      </w:rPr>
    </w:lvl>
    <w:lvl w:ilvl="6" w:tplc="C8D89126">
      <w:numFmt w:val="bullet"/>
      <w:lvlText w:val="•"/>
      <w:lvlJc w:val="left"/>
      <w:pPr>
        <w:ind w:left="5991" w:hanging="290"/>
      </w:pPr>
      <w:rPr>
        <w:rFonts w:hint="default"/>
      </w:rPr>
    </w:lvl>
    <w:lvl w:ilvl="7" w:tplc="DF7C1F74">
      <w:numFmt w:val="bullet"/>
      <w:lvlText w:val="•"/>
      <w:lvlJc w:val="left"/>
      <w:pPr>
        <w:ind w:left="6909" w:hanging="290"/>
      </w:pPr>
      <w:rPr>
        <w:rFonts w:hint="default"/>
      </w:rPr>
    </w:lvl>
    <w:lvl w:ilvl="8" w:tplc="1932DF38">
      <w:numFmt w:val="bullet"/>
      <w:lvlText w:val="•"/>
      <w:lvlJc w:val="left"/>
      <w:pPr>
        <w:ind w:left="7828" w:hanging="290"/>
      </w:pPr>
      <w:rPr>
        <w:rFonts w:hint="default"/>
      </w:rPr>
    </w:lvl>
  </w:abstractNum>
  <w:abstractNum w:abstractNumId="19" w15:restartNumberingAfterBreak="0">
    <w:nsid w:val="55637CA1"/>
    <w:multiLevelType w:val="hybridMultilevel"/>
    <w:tmpl w:val="E7507DAC"/>
    <w:lvl w:ilvl="0" w:tplc="C18CADFA">
      <w:start w:val="1"/>
      <w:numFmt w:val="decimal"/>
      <w:lvlText w:val="%1."/>
      <w:lvlJc w:val="left"/>
      <w:pPr>
        <w:ind w:left="1062" w:hanging="297"/>
      </w:pPr>
      <w:rPr>
        <w:rFonts w:ascii="Times New Roman" w:eastAsia="Times New Roman" w:hAnsi="Times New Roman" w:cs="Times New Roman" w:hint="default"/>
        <w:w w:val="99"/>
        <w:sz w:val="24"/>
        <w:szCs w:val="24"/>
      </w:rPr>
    </w:lvl>
    <w:lvl w:ilvl="1" w:tplc="E6BC4310">
      <w:numFmt w:val="bullet"/>
      <w:lvlText w:val="•"/>
      <w:lvlJc w:val="left"/>
      <w:pPr>
        <w:ind w:left="1920" w:hanging="297"/>
      </w:pPr>
      <w:rPr>
        <w:rFonts w:hint="default"/>
      </w:rPr>
    </w:lvl>
    <w:lvl w:ilvl="2" w:tplc="16EA8BCE">
      <w:numFmt w:val="bullet"/>
      <w:lvlText w:val="•"/>
      <w:lvlJc w:val="left"/>
      <w:pPr>
        <w:ind w:left="2781" w:hanging="297"/>
      </w:pPr>
      <w:rPr>
        <w:rFonts w:hint="default"/>
      </w:rPr>
    </w:lvl>
    <w:lvl w:ilvl="3" w:tplc="C4BAC512">
      <w:numFmt w:val="bullet"/>
      <w:lvlText w:val="•"/>
      <w:lvlJc w:val="left"/>
      <w:pPr>
        <w:ind w:left="3641" w:hanging="297"/>
      </w:pPr>
      <w:rPr>
        <w:rFonts w:hint="default"/>
      </w:rPr>
    </w:lvl>
    <w:lvl w:ilvl="4" w:tplc="FF96E3B4">
      <w:numFmt w:val="bullet"/>
      <w:lvlText w:val="•"/>
      <w:lvlJc w:val="left"/>
      <w:pPr>
        <w:ind w:left="4502" w:hanging="297"/>
      </w:pPr>
      <w:rPr>
        <w:rFonts w:hint="default"/>
      </w:rPr>
    </w:lvl>
    <w:lvl w:ilvl="5" w:tplc="2778B32E">
      <w:numFmt w:val="bullet"/>
      <w:lvlText w:val="•"/>
      <w:lvlJc w:val="left"/>
      <w:pPr>
        <w:ind w:left="5362" w:hanging="297"/>
      </w:pPr>
      <w:rPr>
        <w:rFonts w:hint="default"/>
      </w:rPr>
    </w:lvl>
    <w:lvl w:ilvl="6" w:tplc="7EB455C6">
      <w:numFmt w:val="bullet"/>
      <w:lvlText w:val="•"/>
      <w:lvlJc w:val="left"/>
      <w:pPr>
        <w:ind w:left="6223" w:hanging="297"/>
      </w:pPr>
      <w:rPr>
        <w:rFonts w:hint="default"/>
      </w:rPr>
    </w:lvl>
    <w:lvl w:ilvl="7" w:tplc="E86E8862">
      <w:numFmt w:val="bullet"/>
      <w:lvlText w:val="•"/>
      <w:lvlJc w:val="left"/>
      <w:pPr>
        <w:ind w:left="7083" w:hanging="297"/>
      </w:pPr>
      <w:rPr>
        <w:rFonts w:hint="default"/>
      </w:rPr>
    </w:lvl>
    <w:lvl w:ilvl="8" w:tplc="965272B6">
      <w:numFmt w:val="bullet"/>
      <w:lvlText w:val="•"/>
      <w:lvlJc w:val="left"/>
      <w:pPr>
        <w:ind w:left="7944" w:hanging="297"/>
      </w:pPr>
      <w:rPr>
        <w:rFonts w:hint="default"/>
      </w:rPr>
    </w:lvl>
  </w:abstractNum>
  <w:abstractNum w:abstractNumId="20" w15:restartNumberingAfterBreak="0">
    <w:nsid w:val="558C2594"/>
    <w:multiLevelType w:val="hybridMultilevel"/>
    <w:tmpl w:val="D1BA6730"/>
    <w:lvl w:ilvl="0" w:tplc="3B548FFC">
      <w:start w:val="1"/>
      <w:numFmt w:val="decimal"/>
      <w:pStyle w:val="ListStyle"/>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7FB05BFF"/>
    <w:multiLevelType w:val="hybridMultilevel"/>
    <w:tmpl w:val="227E969A"/>
    <w:lvl w:ilvl="0" w:tplc="1012EF62">
      <w:start w:val="4"/>
      <w:numFmt w:val="decimal"/>
      <w:lvlText w:val="%1"/>
      <w:lvlJc w:val="left"/>
      <w:pPr>
        <w:ind w:left="487" w:hanging="290"/>
      </w:pPr>
      <w:rPr>
        <w:rFonts w:ascii="Times New Roman" w:eastAsia="Times New Roman" w:hAnsi="Times New Roman" w:cs="Times New Roman" w:hint="default"/>
        <w:w w:val="99"/>
        <w:sz w:val="16"/>
        <w:szCs w:val="16"/>
      </w:rPr>
    </w:lvl>
    <w:lvl w:ilvl="1" w:tplc="134492F4">
      <w:numFmt w:val="bullet"/>
      <w:lvlText w:val="•"/>
      <w:lvlJc w:val="left"/>
      <w:pPr>
        <w:ind w:left="1398" w:hanging="290"/>
      </w:pPr>
      <w:rPr>
        <w:rFonts w:hint="default"/>
      </w:rPr>
    </w:lvl>
    <w:lvl w:ilvl="2" w:tplc="0FA45C64">
      <w:numFmt w:val="bullet"/>
      <w:lvlText w:val="•"/>
      <w:lvlJc w:val="left"/>
      <w:pPr>
        <w:ind w:left="2317" w:hanging="290"/>
      </w:pPr>
      <w:rPr>
        <w:rFonts w:hint="default"/>
      </w:rPr>
    </w:lvl>
    <w:lvl w:ilvl="3" w:tplc="C78E452C">
      <w:numFmt w:val="bullet"/>
      <w:lvlText w:val="•"/>
      <w:lvlJc w:val="left"/>
      <w:pPr>
        <w:ind w:left="3235" w:hanging="290"/>
      </w:pPr>
      <w:rPr>
        <w:rFonts w:hint="default"/>
      </w:rPr>
    </w:lvl>
    <w:lvl w:ilvl="4" w:tplc="0924EC40">
      <w:numFmt w:val="bullet"/>
      <w:lvlText w:val="•"/>
      <w:lvlJc w:val="left"/>
      <w:pPr>
        <w:ind w:left="4154" w:hanging="290"/>
      </w:pPr>
      <w:rPr>
        <w:rFonts w:hint="default"/>
      </w:rPr>
    </w:lvl>
    <w:lvl w:ilvl="5" w:tplc="F750729A">
      <w:numFmt w:val="bullet"/>
      <w:lvlText w:val="•"/>
      <w:lvlJc w:val="left"/>
      <w:pPr>
        <w:ind w:left="5072" w:hanging="290"/>
      </w:pPr>
      <w:rPr>
        <w:rFonts w:hint="default"/>
      </w:rPr>
    </w:lvl>
    <w:lvl w:ilvl="6" w:tplc="0A500330">
      <w:numFmt w:val="bullet"/>
      <w:lvlText w:val="•"/>
      <w:lvlJc w:val="left"/>
      <w:pPr>
        <w:ind w:left="5991" w:hanging="290"/>
      </w:pPr>
      <w:rPr>
        <w:rFonts w:hint="default"/>
      </w:rPr>
    </w:lvl>
    <w:lvl w:ilvl="7" w:tplc="AF6C35B0">
      <w:numFmt w:val="bullet"/>
      <w:lvlText w:val="•"/>
      <w:lvlJc w:val="left"/>
      <w:pPr>
        <w:ind w:left="6909" w:hanging="290"/>
      </w:pPr>
      <w:rPr>
        <w:rFonts w:hint="default"/>
      </w:rPr>
    </w:lvl>
    <w:lvl w:ilvl="8" w:tplc="1E62005E">
      <w:numFmt w:val="bullet"/>
      <w:lvlText w:val="•"/>
      <w:lvlJc w:val="left"/>
      <w:pPr>
        <w:ind w:left="7828" w:hanging="290"/>
      </w:pPr>
      <w:rPr>
        <w:rFonts w:hint="default"/>
      </w:rPr>
    </w:lvl>
  </w:abstractNum>
  <w:num w:numId="1" w16cid:durableId="781846923">
    <w:abstractNumId w:val="19"/>
  </w:num>
  <w:num w:numId="2" w16cid:durableId="537863681">
    <w:abstractNumId w:val="15"/>
  </w:num>
  <w:num w:numId="3" w16cid:durableId="610015803">
    <w:abstractNumId w:val="21"/>
  </w:num>
  <w:num w:numId="4" w16cid:durableId="2049989543">
    <w:abstractNumId w:val="18"/>
  </w:num>
  <w:num w:numId="5" w16cid:durableId="78719337">
    <w:abstractNumId w:val="12"/>
  </w:num>
  <w:num w:numId="6" w16cid:durableId="123431654">
    <w:abstractNumId w:val="17"/>
  </w:num>
  <w:num w:numId="7" w16cid:durableId="188035582">
    <w:abstractNumId w:val="16"/>
  </w:num>
  <w:num w:numId="8" w16cid:durableId="765422371">
    <w:abstractNumId w:val="20"/>
  </w:num>
  <w:num w:numId="9" w16cid:durableId="1658991948">
    <w:abstractNumId w:val="14"/>
  </w:num>
  <w:num w:numId="10" w16cid:durableId="1692492154">
    <w:abstractNumId w:val="10"/>
  </w:num>
  <w:num w:numId="11" w16cid:durableId="561212328">
    <w:abstractNumId w:val="11"/>
  </w:num>
  <w:num w:numId="12" w16cid:durableId="2075008555">
    <w:abstractNumId w:val="13"/>
  </w:num>
  <w:num w:numId="13" w16cid:durableId="1377504437">
    <w:abstractNumId w:val="9"/>
  </w:num>
  <w:num w:numId="14" w16cid:durableId="993603571">
    <w:abstractNumId w:val="8"/>
  </w:num>
  <w:num w:numId="15" w16cid:durableId="2001038449">
    <w:abstractNumId w:val="7"/>
  </w:num>
  <w:num w:numId="16" w16cid:durableId="1309893420">
    <w:abstractNumId w:val="6"/>
  </w:num>
  <w:num w:numId="17" w16cid:durableId="409423098">
    <w:abstractNumId w:val="5"/>
  </w:num>
  <w:num w:numId="18" w16cid:durableId="1475830527">
    <w:abstractNumId w:val="4"/>
  </w:num>
  <w:num w:numId="19" w16cid:durableId="60251994">
    <w:abstractNumId w:val="3"/>
  </w:num>
  <w:num w:numId="20" w16cid:durableId="64228424">
    <w:abstractNumId w:val="2"/>
  </w:num>
  <w:num w:numId="21" w16cid:durableId="55399665">
    <w:abstractNumId w:val="1"/>
  </w:num>
  <w:num w:numId="22" w16cid:durableId="984817688">
    <w:abstractNumId w:val="0"/>
  </w:num>
  <w:num w:numId="23" w16cid:durableId="1798722004">
    <w:abstractNumId w:val="8"/>
  </w:num>
  <w:num w:numId="24" w16cid:durableId="1773013088">
    <w:abstractNumId w:val="3"/>
  </w:num>
  <w:num w:numId="25" w16cid:durableId="1713921898">
    <w:abstractNumId w:val="2"/>
  </w:num>
  <w:num w:numId="26" w16cid:durableId="238753574">
    <w:abstractNumId w:val="1"/>
  </w:num>
  <w:num w:numId="27" w16cid:durableId="195504475">
    <w:abstractNumId w:val="0"/>
  </w:num>
  <w:num w:numId="28" w16cid:durableId="35226961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2"/>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DBC"/>
    <w:rsid w:val="000246DD"/>
    <w:rsid w:val="0003623E"/>
    <w:rsid w:val="000527DD"/>
    <w:rsid w:val="000909FF"/>
    <w:rsid w:val="0009226F"/>
    <w:rsid w:val="000971A4"/>
    <w:rsid w:val="000C31C1"/>
    <w:rsid w:val="000C40D5"/>
    <w:rsid w:val="00107C3E"/>
    <w:rsid w:val="00174CB3"/>
    <w:rsid w:val="00177EBA"/>
    <w:rsid w:val="00187C50"/>
    <w:rsid w:val="001B6E7A"/>
    <w:rsid w:val="001F321A"/>
    <w:rsid w:val="001F3E2D"/>
    <w:rsid w:val="001F7FF5"/>
    <w:rsid w:val="00200E6F"/>
    <w:rsid w:val="00241B4D"/>
    <w:rsid w:val="00244EA9"/>
    <w:rsid w:val="00271D38"/>
    <w:rsid w:val="00291DBC"/>
    <w:rsid w:val="002B29CE"/>
    <w:rsid w:val="002C348B"/>
    <w:rsid w:val="002D0866"/>
    <w:rsid w:val="002F1CF3"/>
    <w:rsid w:val="002F6C62"/>
    <w:rsid w:val="00364552"/>
    <w:rsid w:val="00395CB4"/>
    <w:rsid w:val="003B1161"/>
    <w:rsid w:val="003D0B3A"/>
    <w:rsid w:val="003D1129"/>
    <w:rsid w:val="003F2839"/>
    <w:rsid w:val="00416340"/>
    <w:rsid w:val="00417359"/>
    <w:rsid w:val="004454AB"/>
    <w:rsid w:val="004474FE"/>
    <w:rsid w:val="00452041"/>
    <w:rsid w:val="004A0EED"/>
    <w:rsid w:val="004C7B84"/>
    <w:rsid w:val="00530414"/>
    <w:rsid w:val="00544A09"/>
    <w:rsid w:val="00555630"/>
    <w:rsid w:val="00570F32"/>
    <w:rsid w:val="00571AA0"/>
    <w:rsid w:val="00577184"/>
    <w:rsid w:val="00587C31"/>
    <w:rsid w:val="005931A8"/>
    <w:rsid w:val="00615A60"/>
    <w:rsid w:val="006478E2"/>
    <w:rsid w:val="00681457"/>
    <w:rsid w:val="00682CC9"/>
    <w:rsid w:val="006A4A94"/>
    <w:rsid w:val="006A62EE"/>
    <w:rsid w:val="006C0979"/>
    <w:rsid w:val="006C635D"/>
    <w:rsid w:val="006D62EB"/>
    <w:rsid w:val="006E2105"/>
    <w:rsid w:val="006E7B68"/>
    <w:rsid w:val="00707362"/>
    <w:rsid w:val="00722D42"/>
    <w:rsid w:val="00730265"/>
    <w:rsid w:val="007362F8"/>
    <w:rsid w:val="00746427"/>
    <w:rsid w:val="00750F4C"/>
    <w:rsid w:val="00771F97"/>
    <w:rsid w:val="007749D7"/>
    <w:rsid w:val="00796553"/>
    <w:rsid w:val="007A27D0"/>
    <w:rsid w:val="007B6048"/>
    <w:rsid w:val="00822DBD"/>
    <w:rsid w:val="00884ED7"/>
    <w:rsid w:val="008A01AB"/>
    <w:rsid w:val="008A12E4"/>
    <w:rsid w:val="008D6FAF"/>
    <w:rsid w:val="008D72FE"/>
    <w:rsid w:val="008F6310"/>
    <w:rsid w:val="0090293F"/>
    <w:rsid w:val="009477FF"/>
    <w:rsid w:val="00952452"/>
    <w:rsid w:val="009E000E"/>
    <w:rsid w:val="009F4089"/>
    <w:rsid w:val="00A67E8C"/>
    <w:rsid w:val="00AA634E"/>
    <w:rsid w:val="00AC5EE5"/>
    <w:rsid w:val="00AD1C1B"/>
    <w:rsid w:val="00AD3975"/>
    <w:rsid w:val="00AE345A"/>
    <w:rsid w:val="00B053CE"/>
    <w:rsid w:val="00B25089"/>
    <w:rsid w:val="00B7544E"/>
    <w:rsid w:val="00B77DCB"/>
    <w:rsid w:val="00BA0EBE"/>
    <w:rsid w:val="00BB6BCC"/>
    <w:rsid w:val="00BD114F"/>
    <w:rsid w:val="00C0639E"/>
    <w:rsid w:val="00C50FD9"/>
    <w:rsid w:val="00C56571"/>
    <w:rsid w:val="00C6414F"/>
    <w:rsid w:val="00C66692"/>
    <w:rsid w:val="00C724F4"/>
    <w:rsid w:val="00C80D66"/>
    <w:rsid w:val="00C86F4E"/>
    <w:rsid w:val="00C87481"/>
    <w:rsid w:val="00C97CDE"/>
    <w:rsid w:val="00CA6EF5"/>
    <w:rsid w:val="00CC1B61"/>
    <w:rsid w:val="00CC7C86"/>
    <w:rsid w:val="00CD78B5"/>
    <w:rsid w:val="00D01B68"/>
    <w:rsid w:val="00D01F25"/>
    <w:rsid w:val="00D033B8"/>
    <w:rsid w:val="00D1291F"/>
    <w:rsid w:val="00D25F87"/>
    <w:rsid w:val="00D304A8"/>
    <w:rsid w:val="00D61050"/>
    <w:rsid w:val="00D6652F"/>
    <w:rsid w:val="00D778E4"/>
    <w:rsid w:val="00D9474F"/>
    <w:rsid w:val="00DB0D27"/>
    <w:rsid w:val="00DE20CC"/>
    <w:rsid w:val="00E04835"/>
    <w:rsid w:val="00E166DA"/>
    <w:rsid w:val="00E27EA4"/>
    <w:rsid w:val="00E33F2F"/>
    <w:rsid w:val="00E4636E"/>
    <w:rsid w:val="00EA350E"/>
    <w:rsid w:val="00EF22E6"/>
    <w:rsid w:val="00F14A64"/>
    <w:rsid w:val="00F328CF"/>
    <w:rsid w:val="00F43A58"/>
    <w:rsid w:val="00F43C7E"/>
    <w:rsid w:val="00F84339"/>
    <w:rsid w:val="00F867A6"/>
    <w:rsid w:val="00FB734E"/>
    <w:rsid w:val="00FD4227"/>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A5E9E"/>
  <w15:docId w15:val="{C8BB6CA3-6AB9-479F-8A60-66E47012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D72FE"/>
    <w:rPr>
      <w:rFonts w:ascii="Times New Roman" w:eastAsia="Times New Roman" w:hAnsi="Times New Roman" w:cs="Times New Roman"/>
      <w:lang w:val="en-NZ"/>
    </w:rPr>
  </w:style>
  <w:style w:type="paragraph" w:styleId="Heading1">
    <w:name w:val="heading 1"/>
    <w:basedOn w:val="Normal"/>
    <w:next w:val="ReportBody"/>
    <w:link w:val="Heading1Char"/>
    <w:uiPriority w:val="9"/>
    <w:qFormat/>
    <w:rsid w:val="00271D38"/>
    <w:pPr>
      <w:keepNext/>
      <w:numPr>
        <w:numId w:val="5"/>
      </w:numPr>
      <w:tabs>
        <w:tab w:val="left" w:pos="965"/>
      </w:tabs>
      <w:spacing w:after="100" w:before="100"/>
      <w:ind w:left="357" w:hanging="357"/>
      <w:outlineLvl w:val="0"/>
    </w:pPr>
    <w:rPr>
      <w:b/>
      <w:bCs/>
      <w:sz w:val="28"/>
      <w:szCs w:val="32"/>
    </w:rPr>
  </w:style>
  <w:style w:type="paragraph" w:styleId="Heading2">
    <w:name w:val="heading 2"/>
    <w:basedOn w:val="Normal"/>
    <w:next w:val="ReportBody"/>
    <w:uiPriority w:val="9"/>
    <w:unhideWhenUsed/>
    <w:qFormat/>
    <w:rsid w:val="00271D38"/>
    <w:pPr>
      <w:keepNext/>
      <w:numPr>
        <w:ilvl w:val="1"/>
        <w:numId w:val="5"/>
      </w:numPr>
      <w:spacing w:after="60" w:before="100"/>
      <w:outlineLvl w:val="1"/>
    </w:pPr>
    <w:rPr>
      <w:b/>
      <w:bCs/>
      <w:sz w:val="23"/>
      <w:szCs w:val="28"/>
    </w:rPr>
  </w:style>
  <w:style w:type="paragraph" w:styleId="Heading3">
    <w:name w:val="heading 3"/>
    <w:basedOn w:val="Normal"/>
    <w:next w:val="ReportBody"/>
    <w:link w:val="Heading3Char"/>
    <w:uiPriority w:val="9"/>
    <w:unhideWhenUsed/>
    <w:qFormat/>
    <w:rsid w:val="00271D38"/>
    <w:pPr>
      <w:keepNext/>
      <w:keepLines/>
      <w:numPr>
        <w:ilvl w:val="2"/>
        <w:numId w:val="5"/>
      </w:numPr>
      <w:spacing w:before="100" w:after="40"/>
      <w:outlineLvl w:val="2"/>
    </w:pPr>
    <w:rPr>
      <w:rFonts w:eastAsiaTheme="majorEastAsia" w:cstheme="majorBidi"/>
      <w:b/>
      <w:bCs/>
      <w:iCs/>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spacing w:before="247"/>
      <w:ind w:left="477"/>
    </w:pPr>
    <w:rPr>
      <w:b/>
      <w:bCs/>
      <w:sz w:val="24"/>
      <w:szCs w:val="24"/>
    </w:rPr>
  </w:style>
  <w:style w:type="paragraph" w:styleId="TOC2">
    <w:name w:val="toc 2"/>
    <w:basedOn w:val="Normal"/>
    <w:uiPriority w:val="39"/>
    <w:pPr>
      <w:spacing w:before="247"/>
      <w:ind w:left="477"/>
    </w:pPr>
    <w:rPr>
      <w:sz w:val="24"/>
      <w:szCs w:val="24"/>
    </w:rPr>
  </w:style>
  <w:style w:type="paragraph" w:styleId="TOC3">
    <w:name w:val="toc 3"/>
    <w:basedOn w:val="Normal"/>
    <w:uiPriority w:val="39"/>
    <w:pPr>
      <w:spacing w:before="247"/>
      <w:ind w:left="477"/>
    </w:pPr>
    <w:rPr>
      <w:b/>
      <w:bCs/>
      <w:i/>
    </w:rPr>
  </w:style>
  <w:style w:type="paragraph" w:styleId="TOC4">
    <w:name w:val="toc 4"/>
    <w:basedOn w:val="Normal"/>
    <w:uiPriority w:val="1"/>
    <w:pPr>
      <w:spacing w:before="13"/>
      <w:ind w:left="828"/>
    </w:pPr>
    <w:rPr>
      <w:sz w:val="24"/>
      <w:szCs w:val="24"/>
    </w:rPr>
  </w:style>
  <w:style w:type="paragraph" w:styleId="BodyText">
    <w:name w:val="Body Text"/>
    <w:basedOn w:val="Normal"/>
    <w:link w:val="BodyTextChar"/>
    <w:uiPriority w:val="1"/>
    <w:qFormat/>
    <w:rsid w:val="00EA350E"/>
    <w:pPr>
      <w:spacing w:after="80" w:line="259" w:lineRule="auto"/>
      <w:jc w:val="both"/>
    </w:pPr>
    <w:rPr>
      <w:sz w:val="21"/>
      <w:szCs w:val="24"/>
    </w:rPr>
  </w:style>
  <w:style w:type="paragraph" w:styleId="ListParagraph">
    <w:name w:val="List Paragraph"/>
    <w:basedOn w:val="Normal"/>
    <w:uiPriority w:val="1"/>
    <w:pPr>
      <w:spacing w:before="9"/>
      <w:ind w:left="487" w:hanging="369"/>
    </w:pPr>
  </w:style>
  <w:style w:type="paragraph" w:customStyle="1" w:styleId="TableParagraph">
    <w:name w:val="Table Paragraph"/>
    <w:basedOn w:val="Normal"/>
    <w:uiPriority w:val="1"/>
  </w:style>
  <w:style w:type="paragraph" w:customStyle="1" w:styleId="ReportBody">
    <w:name w:val="ReportBody"/>
    <w:basedOn w:val="BodyText"/>
    <w:rsid w:val="00587C31"/>
    <w:pPr>
      <w:spacing w:before="180"/>
    </w:pPr>
  </w:style>
  <w:style w:type="character" w:customStyle="1" w:styleId="Heading3Char">
    <w:name w:val="Heading 3 Char"/>
    <w:basedOn w:val="DefaultParagraphFont"/>
    <w:link w:val="Heading3"/>
    <w:uiPriority w:val="9"/>
    <w:rsid w:val="00271D38"/>
    <w:rPr>
      <w:rFonts w:ascii="Times New Roman" w:eastAsiaTheme="majorEastAsia" w:hAnsi="Times New Roman" w:cstheme="majorBidi"/>
      <w:b/>
      <w:bCs/>
      <w:iCs/>
      <w:sz w:val="24"/>
      <w:szCs w:val="24"/>
    </w:rPr>
  </w:style>
  <w:style w:type="paragraph" w:styleId="TOCHeading">
    <w:name w:val="TOC Heading"/>
    <w:basedOn w:val="Heading1"/>
    <w:next w:val="Normal"/>
    <w:uiPriority w:val="39"/>
    <w:unhideWhenUsed/>
    <w:rsid w:val="00555630"/>
    <w:pPr>
      <w:keepNext/>
      <w:keepLines/>
      <w:widowControl/>
      <w:autoSpaceDE/>
      <w:autoSpaceDN/>
      <w:spacing w:before="240" w:after="0" w:line="259" w:lineRule="auto"/>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555630"/>
    <w:rPr>
      <w:color w:val="0000FF" w:themeColor="hyperlink"/>
      <w:u w:val="single"/>
    </w:rPr>
  </w:style>
  <w:style w:type="character" w:customStyle="1" w:styleId="Heading1Char">
    <w:name w:val="Heading 1 Char"/>
    <w:basedOn w:val="DefaultParagraphFont"/>
    <w:link w:val="Heading1"/>
    <w:uiPriority w:val="9"/>
    <w:rsid w:val="00271D38"/>
    <w:rPr>
      <w:rFonts w:ascii="Times New Roman" w:eastAsia="Times New Roman" w:hAnsi="Times New Roman" w:cs="Times New Roman"/>
      <w:b/>
      <w:bCs/>
      <w:sz w:val="32"/>
      <w:szCs w:val="32"/>
    </w:rPr>
  </w:style>
  <w:style w:type="paragraph" w:customStyle="1" w:styleId="ListStyle">
    <w:name w:val="List Style"/>
    <w:basedOn w:val="BodyText"/>
    <w:link w:val="ListStyleChar"/>
    <w:rsid w:val="004474FE"/>
    <w:pPr>
      <w:numPr>
        <w:numId w:val="8"/>
      </w:numPr>
    </w:pPr>
  </w:style>
  <w:style w:type="character" w:customStyle="1" w:styleId="BodyTextChar">
    <w:name w:val="Body Text Char"/>
    <w:basedOn w:val="DefaultParagraphFont"/>
    <w:link w:val="BodyText"/>
    <w:uiPriority w:val="1"/>
    <w:rsid w:val="00EA350E"/>
    <w:rPr>
      <w:rFonts w:ascii="Times New Roman" w:eastAsia="Times New Roman" w:hAnsi="Times New Roman" w:cs="Times New Roman"/>
      <w:sz w:val="24"/>
      <w:szCs w:val="24"/>
      <w:lang w:val="en-NZ"/>
    </w:rPr>
  </w:style>
  <w:style w:type="character" w:customStyle="1" w:styleId="ListStyleChar">
    <w:name w:val="List Style Char"/>
    <w:basedOn w:val="BodyTextChar"/>
    <w:link w:val="ListStyle"/>
    <w:rsid w:val="004474FE"/>
    <w:rPr>
      <w:rFonts w:ascii="Times New Roman" w:eastAsia="Times New Roman" w:hAnsi="Times New Roman" w:cs="Times New Roman"/>
      <w:sz w:val="24"/>
      <w:szCs w:val="24"/>
      <w:lang w:val="en-NZ"/>
    </w:rPr>
  </w:style>
  <w:style w:type="paragraph" w:customStyle="1" w:styleId="Style1">
    <w:name w:val="Style1"/>
    <w:basedOn w:val="ListParagraph"/>
    <w:rsid w:val="004474FE"/>
  </w:style>
  <w:style w:type="paragraph" w:customStyle="1" w:styleId="ListText">
    <w:name w:val="List Text"/>
    <w:basedOn w:val="BodyText"/>
    <w:link w:val="ListTextChar"/>
    <w:rsid w:val="001F3E2D"/>
    <w:pPr>
      <w:numPr>
        <w:numId w:val="9"/>
      </w:numPr>
    </w:pPr>
  </w:style>
  <w:style w:type="character" w:customStyle="1" w:styleId="ListTextChar">
    <w:name w:val="List Text Char"/>
    <w:basedOn w:val="BodyTextChar"/>
    <w:link w:val="ListText"/>
    <w:rsid w:val="001F3E2D"/>
    <w:rPr>
      <w:rFonts w:ascii="Times New Roman" w:eastAsia="Times New Roman" w:hAnsi="Times New Roman" w:cs="Times New Roman"/>
      <w:sz w:val="24"/>
      <w:szCs w:val="24"/>
      <w:lang w:val="en-NZ"/>
    </w:rPr>
  </w:style>
  <w:style w:type="paragraph" w:styleId="Caption">
    <w:name w:val="caption"/>
    <w:basedOn w:val="Normal"/>
    <w:next w:val="Normal"/>
    <w:uiPriority w:val="35"/>
    <w:unhideWhenUsed/>
    <w:qFormat/>
    <w:rsid w:val="000971A4"/>
    <w:pPr>
      <w:jc w:val="center"/>
    </w:pPr>
    <w:rPr>
      <w:rFonts w:ascii="Times New Roman" w:hAnsi="Times New Roman"/>
      <w:i w:val="0"/>
      <w:iCs/>
      <w:sz w:val="18"/>
    </w:rPr>
  </w:style>
  <w:style w:type="paragraph" w:customStyle="1" w:styleId="NoNumHeading1">
    <w:name w:val="NoNum Heading 1"/>
    <w:basedOn w:val="Heading1"/>
    <w:qFormat/>
    <w:rsid w:val="00177EBA"/>
    <w:pPr>
      <w:numPr>
        <w:numId w:val="0"/>
      </w:numPr>
      <w:ind w:left="360" w:hanging="360"/>
      <w:jc w:val="center"/>
    </w:pPr>
  </w:style>
  <w:style w:type="character" w:styleId="UnresolvedMention">
    <w:name w:val="Unresolved Mention"/>
    <w:basedOn w:val="DefaultParagraphFont"/>
    <w:uiPriority w:val="99"/>
    <w:semiHidden/>
    <w:unhideWhenUsed/>
    <w:rsid w:val="002D0866"/>
    <w:rPr>
      <w:color w:val="605E5C"/>
      <w:shd w:val="clear" w:color="auto" w:fill="E1DFDD"/>
    </w:rPr>
  </w:style>
  <w:style w:type="paragraph" w:styleId="Bibliography">
    <w:name w:val="Bibliography"/>
    <w:basedOn w:val="Normal"/>
    <w:next w:val="Normal"/>
    <w:uiPriority w:val="37"/>
    <w:unhideWhenUsed/>
    <w:rsid w:val="002D0866"/>
    <w:pPr>
      <w:spacing w:line="480" w:lineRule="auto"/>
      <w:ind w:left="720" w:hanging="720"/>
    </w:pPr>
  </w:style>
  <w:style w:type="paragraph" w:customStyle="1" w:styleId="None">
    <w:name w:val="None"/>
    <w:basedOn w:val="BodyText"/>
    <w:link w:val="NoneChar"/>
    <w:rsid w:val="00BA0EBE"/>
  </w:style>
  <w:style w:type="character" w:customStyle="1" w:styleId="NoneChar">
    <w:name w:val="None Char"/>
    <w:basedOn w:val="BodyTextChar"/>
    <w:link w:val="None"/>
    <w:rsid w:val="00BA0EBE"/>
    <w:rPr>
      <w:rFonts w:ascii="Times New Roman" w:eastAsia="Times New Roman" w:hAnsi="Times New Roman" w:cs="Times New Roman"/>
      <w:sz w:val="24"/>
      <w:szCs w:val="24"/>
      <w:lang w:val="en-NZ"/>
    </w:rPr>
  </w:style>
  <w:style w:type="paragraph" w:styleId="Header">
    <w:name w:val="header"/>
    <w:basedOn w:val="Normal"/>
    <w:link w:val="HeaderChar"/>
    <w:uiPriority w:val="99"/>
    <w:unhideWhenUsed/>
    <w:rsid w:val="00BA0EBE"/>
    <w:pPr>
      <w:tabs>
        <w:tab w:val="center" w:pos="4513"/>
        <w:tab w:val="right" w:pos="9026"/>
      </w:tabs>
    </w:pPr>
  </w:style>
  <w:style w:type="character" w:customStyle="1" w:styleId="HeaderChar">
    <w:name w:val="Header Char"/>
    <w:basedOn w:val="DefaultParagraphFont"/>
    <w:link w:val="Header"/>
    <w:uiPriority w:val="99"/>
    <w:rsid w:val="00BA0EBE"/>
    <w:rPr>
      <w:rFonts w:ascii="Times New Roman" w:eastAsia="Times New Roman" w:hAnsi="Times New Roman" w:cs="Times New Roman"/>
    </w:rPr>
  </w:style>
  <w:style w:type="paragraph" w:styleId="Footer">
    <w:name w:val="footer"/>
    <w:basedOn w:val="Normal"/>
    <w:link w:val="FooterChar"/>
    <w:uiPriority w:val="99"/>
    <w:unhideWhenUsed/>
    <w:rsid w:val="00BA0EBE"/>
    <w:pPr>
      <w:tabs>
        <w:tab w:val="center" w:pos="4513"/>
        <w:tab w:val="right" w:pos="9026"/>
      </w:tabs>
    </w:pPr>
  </w:style>
  <w:style w:type="character" w:customStyle="1" w:styleId="FooterChar">
    <w:name w:val="Footer Char"/>
    <w:basedOn w:val="DefaultParagraphFont"/>
    <w:link w:val="Footer"/>
    <w:uiPriority w:val="99"/>
    <w:rsid w:val="00BA0EBE"/>
    <w:rPr>
      <w:rFonts w:ascii="Times New Roman" w:eastAsia="Times New Roman" w:hAnsi="Times New Roman" w:cs="Times New Roman"/>
    </w:rPr>
  </w:style>
  <w:style w:type="paragraph" w:customStyle="1" w:styleId="TitlePageText">
    <w:name w:val="TitlePage Text"/>
    <w:basedOn w:val="None"/>
    <w:link w:val="TitlePageTextChar"/>
    <w:qFormat/>
    <w:rsid w:val="0009226F"/>
    <w:pPr>
      <w:jc w:val="center"/>
    </w:pPr>
    <w:rPr>
      <w:sz w:val="28"/>
      <w:szCs w:val="28"/>
    </w:rPr>
  </w:style>
  <w:style w:type="character" w:customStyle="1" w:styleId="TitlePageTextChar">
    <w:name w:val="TitlePage Text Char"/>
    <w:basedOn w:val="NoneChar"/>
    <w:link w:val="TitlePageText"/>
    <w:rsid w:val="0009226F"/>
    <w:rPr>
      <w:rFonts w:ascii="Times New Roman" w:eastAsia="Times New Roman" w:hAnsi="Times New Roman" w:cs="Times New Roman"/>
      <w:sz w:val="28"/>
      <w:szCs w:val="28"/>
      <w:lang w:val="en-NZ"/>
    </w:rPr>
  </w:style>
  <w:style w:type="paragraph" w:customStyle="1" w:styleId="TitleText">
    <w:name w:val="Title Text"/>
    <w:basedOn w:val="None"/>
    <w:link w:val="TitleTextChar"/>
    <w:qFormat/>
    <w:rsid w:val="000527DD"/>
    <w:pPr>
      <w:pBdr>
        <w:top w:val="single" w:sz="24" w:space="1" w:color="auto"/>
      </w:pBdr>
      <w:jc w:val="center"/>
    </w:pPr>
    <w:rPr>
      <w:sz w:val="50"/>
      <w:szCs w:val="50"/>
    </w:rPr>
  </w:style>
  <w:style w:type="character" w:customStyle="1" w:styleId="TitleTextChar">
    <w:name w:val="Title Text Char"/>
    <w:basedOn w:val="NoneChar"/>
    <w:link w:val="TitleText"/>
    <w:rsid w:val="000527DD"/>
    <w:rPr>
      <w:rFonts w:ascii="Times New Roman" w:eastAsia="Times New Roman" w:hAnsi="Times New Roman" w:cs="Times New Roman"/>
      <w:sz w:val="50"/>
      <w:szCs w:val="50"/>
      <w:lang w:val="en-NZ"/>
    </w:rPr>
  </w:style>
  <w:style w:type="paragraph" w:customStyle="1" w:styleId="AuthorText">
    <w:name w:val="Author Text"/>
    <w:basedOn w:val="None"/>
    <w:link w:val="AuthorTextChar"/>
    <w:qFormat/>
    <w:rsid w:val="00FD4227"/>
    <w:pPr>
      <w:pBdr>
        <w:bottom w:val="single" w:sz="24" w:space="1" w:color="auto"/>
      </w:pBdr>
      <w:jc w:val="center"/>
    </w:pPr>
    <w:rPr>
      <w:sz w:val="40"/>
      <w:szCs w:val="40"/>
    </w:rPr>
  </w:style>
  <w:style w:type="character" w:customStyle="1" w:styleId="AuthorTextChar">
    <w:name w:val="Author Text Char"/>
    <w:basedOn w:val="NoneChar"/>
    <w:link w:val="AuthorText"/>
    <w:rsid w:val="00FD4227"/>
    <w:rPr>
      <w:rFonts w:ascii="Times New Roman" w:eastAsia="Times New Roman" w:hAnsi="Times New Roman" w:cs="Times New Roman"/>
      <w:sz w:val="40"/>
      <w:szCs w:val="40"/>
      <w:lang w:val="en-NZ"/>
    </w:rPr>
  </w:style>
  <w:style w:type="paragraph" w:styleId="TableofFigures">
    <w:name w:val="table of figures"/>
    <w:basedOn w:val="Normal"/>
    <w:next w:val="Normal"/>
    <w:uiPriority w:val="99"/>
    <w:unhideWhenUsed/>
    <w:rsid w:val="00C66692"/>
  </w:style>
  <w:style w:type="table" w:styleId="TableGrid">
    <w:name w:val="Table Grid"/>
    <w:basedOn w:val="TableNormal"/>
    <w:uiPriority w:val="39"/>
    <w:rsid w:val="00750F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idYearTitle">
    <w:name w:val="MidYear Title"/>
    <w:pPr>
      <w:spacing w:after="80"/>
      <w:jc w:val="center"/>
    </w:pPr>
    <w:rPr>
      <w:rFonts w:ascii="Times New Roman" w:hAnsi="Times New Roman"/>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501965">
      <w:bodyDiv w:val="1"/>
      <w:marLeft w:val="0"/>
      <w:marRight w:val="0"/>
      <w:marTop w:val="0"/>
      <w:marBottom w:val="0"/>
      <w:divBdr>
        <w:top w:val="none" w:sz="0" w:space="0" w:color="auto"/>
        <w:left w:val="none" w:sz="0" w:space="0" w:color="auto"/>
        <w:bottom w:val="none" w:sz="0" w:space="0" w:color="auto"/>
        <w:right w:val="none" w:sz="0" w:space="0" w:color="auto"/>
      </w:divBdr>
      <w:divsChild>
        <w:div w:id="666589857">
          <w:marLeft w:val="0"/>
          <w:marRight w:val="0"/>
          <w:marTop w:val="0"/>
          <w:marBottom w:val="0"/>
          <w:divBdr>
            <w:top w:val="none" w:sz="0" w:space="0" w:color="auto"/>
            <w:left w:val="none" w:sz="0" w:space="0" w:color="auto"/>
            <w:bottom w:val="none" w:sz="0" w:space="0" w:color="auto"/>
            <w:right w:val="none" w:sz="0" w:space="0" w:color="auto"/>
          </w:divBdr>
        </w:div>
      </w:divsChild>
    </w:div>
    <w:div w:id="64380872">
      <w:bodyDiv w:val="1"/>
      <w:marLeft w:val="0"/>
      <w:marRight w:val="0"/>
      <w:marTop w:val="0"/>
      <w:marBottom w:val="0"/>
      <w:divBdr>
        <w:top w:val="none" w:sz="0" w:space="0" w:color="auto"/>
        <w:left w:val="none" w:sz="0" w:space="0" w:color="auto"/>
        <w:bottom w:val="none" w:sz="0" w:space="0" w:color="auto"/>
        <w:right w:val="none" w:sz="0" w:space="0" w:color="auto"/>
      </w:divBdr>
      <w:divsChild>
        <w:div w:id="955675913">
          <w:marLeft w:val="0"/>
          <w:marRight w:val="0"/>
          <w:marTop w:val="0"/>
          <w:marBottom w:val="0"/>
          <w:divBdr>
            <w:top w:val="none" w:sz="0" w:space="0" w:color="auto"/>
            <w:left w:val="none" w:sz="0" w:space="0" w:color="auto"/>
            <w:bottom w:val="none" w:sz="0" w:space="0" w:color="auto"/>
            <w:right w:val="none" w:sz="0" w:space="0" w:color="auto"/>
          </w:divBdr>
        </w:div>
      </w:divsChild>
    </w:div>
    <w:div w:id="576480354">
      <w:bodyDiv w:val="1"/>
      <w:marLeft w:val="0"/>
      <w:marRight w:val="0"/>
      <w:marTop w:val="0"/>
      <w:marBottom w:val="0"/>
      <w:divBdr>
        <w:top w:val="none" w:sz="0" w:space="0" w:color="auto"/>
        <w:left w:val="none" w:sz="0" w:space="0" w:color="auto"/>
        <w:bottom w:val="none" w:sz="0" w:space="0" w:color="auto"/>
        <w:right w:val="none" w:sz="0" w:space="0" w:color="auto"/>
      </w:divBdr>
      <w:divsChild>
        <w:div w:id="1607690088">
          <w:marLeft w:val="0"/>
          <w:marRight w:val="0"/>
          <w:marTop w:val="0"/>
          <w:marBottom w:val="0"/>
          <w:divBdr>
            <w:top w:val="none" w:sz="0" w:space="0" w:color="auto"/>
            <w:left w:val="none" w:sz="0" w:space="0" w:color="auto"/>
            <w:bottom w:val="none" w:sz="0" w:space="0" w:color="auto"/>
            <w:right w:val="none" w:sz="0" w:space="0" w:color="auto"/>
          </w:divBdr>
        </w:div>
      </w:divsChild>
    </w:div>
    <w:div w:id="2001811846">
      <w:bodyDiv w:val="1"/>
      <w:marLeft w:val="0"/>
      <w:marRight w:val="0"/>
      <w:marTop w:val="0"/>
      <w:marBottom w:val="0"/>
      <w:divBdr>
        <w:top w:val="none" w:sz="0" w:space="0" w:color="auto"/>
        <w:left w:val="none" w:sz="0" w:space="0" w:color="auto"/>
        <w:bottom w:val="none" w:sz="0" w:space="0" w:color="auto"/>
        <w:right w:val="none" w:sz="0" w:space="0" w:color="auto"/>
      </w:divBdr>
      <w:divsChild>
        <w:div w:id="177262767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E2D5C-B6CA-41D2-A19C-D2CB07BCD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2846</Words>
  <Characters>16223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michael.zhang@auckland.ac.nz</dc:creator>
  <cp:lastModifiedBy>Shuhei Yokkaichi</cp:lastModifiedBy>
  <cp:revision>2</cp:revision>
  <dcterms:created xsi:type="dcterms:W3CDTF">2026-07-22T23:26:00Z</dcterms:created>
  <dcterms:modified xsi:type="dcterms:W3CDTF">2026-07-22T23:26:00Z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2019-04-18T00:00:00Z</vt:filetime>
  </property>
  <property fmtid="{D5CDD505-2E9C-101B-9397-08002B2CF9AE}" pid="3" name="Creator">
    <vt:lpwstr>LaTeX with hyperref package</vt:lpwstr>
  </property>
  <property fmtid="{D5CDD505-2E9C-101B-9397-08002B2CF9AE}" pid="4" name="LastSaved">
    <vt:filetime>2019-04-18T00:00:00Z</vt:filetime>
  </property>
  <property fmtid="{D5CDD505-2E9C-101B-9397-08002B2CF9AE}" pid="5" name="ZOTERO_PREF_1">
    <vt:lpwstr>&lt;data data-version="3" zotero-version="7.0.10"&gt;&lt;session id="Iu0zhkE4"/&gt;&lt;style id="http://www.zotero.org/styles/apa" locale="en-NZ"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