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North Central College &amp; University, —&gt; University of Minneapolis - Dunwoody University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 PLURIBUS UNUM.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kids who love the metropolitan area, but do not want to go to the U of M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-MCAD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-DUNWOODY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-UNIVERSITY OF NORTHWESTERN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-NCU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-BETHLEHEM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 MCTC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Essay 1 : How To address low cost of attendance 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: Super abundance of student housing.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: where to move poor people ? to the outskirts.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Essay 2: How to maintain Academic interest 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: University press and campus bookstore economy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Essay 3:  How to create high levels of Academic intensity and learning flexibility as well as rigor 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: Limited fields of study, for the bachelor's degree level.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: limited choice in class schedule.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Essay 4: How to address adult and continuing education needs 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 Sufficient adjunct faculty for night classes, and online classes etc.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Essay 5: How to address campus activities 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: Robust metropolitan area will encourage simultaneity in modes of transportation thus involvement.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Amy Wax College of the Social Sciences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Alan Macfarland School of Anthropology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Robert Paul Wolff school of philosophy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Milton B Friedman school of economics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cathie d wood school of finance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Charles Murray School of Political Science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Jordan B Peterson school of psychology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David Harvey School of Geography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Charles Haywood School of Law &amp; Government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Dietrich Bonhoeffer school of theology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Atmosphere school of music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the Matthew N Fainent School of fine arts and literature.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