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Columns: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992.821598729486"/>
        <w:gridCol w:w="6367.178401270513"/>
        <w:tblGridChange w:id="0">
          <w:tblGrid>
            <w:gridCol w:w="2992.821598729486"/>
            <w:gridCol w:w="6367.178401270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Marital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marital status of the student.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Application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method of application used by the student.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Application 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order in which the student applied. (Numerical)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course taken by the student. (Categorical)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Daytime/evening 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attends classes during the day or in the evening. (Categorical)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Previous qualification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qualification obtained by the student before enrolling in higher education.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nationality of the student.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Mother's qualification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qualification of the student's mother.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Father's qualification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qualification of the student's father.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Mother's occupation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occupation of the student's mother.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Father's occupation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occupation of the student's father.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Displaced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is a displaced person. (Categorical)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Educational special needs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has any special educational needs.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Debtor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is a debtor.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Tuition fees up to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student's tuition fees are up to date.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gender of the student.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Scholarship holder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is a scholarship holder. (Categorical)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Age at enrollment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age of the student at the time of enrollment. (Numerical)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International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Whether the student is an international student. (Categorical)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Curricular units 1st sem (credited)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number of curricular units credited by the student in the first semester. (Numerical)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Curricular units 1st sem (enrolled)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number of curricular units enrolled by the student in the first semester. (Numerical)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Curricular units 1st sem (evaluations)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number of curricular units evaluated by the student in the first semester. (Numerical)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Curricular units 1st sem (approved)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number of curricular units approved by the student in the first semester. (Numerical)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