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DF36" w14:textId="77777777" w:rsidR="00375215" w:rsidRPr="002551B2" w:rsidRDefault="00375215" w:rsidP="00375215">
      <w:pPr>
        <w:jc w:val="center"/>
        <w:rPr>
          <w:rFonts w:ascii="Cambria" w:hAnsi="Cambria"/>
          <w:b/>
          <w:bCs/>
          <w:sz w:val="32"/>
          <w:szCs w:val="32"/>
          <w:lang w:val="en-US"/>
        </w:rPr>
      </w:pPr>
      <w:r w:rsidRPr="002551B2">
        <w:rPr>
          <w:rFonts w:ascii="Cambria" w:hAnsi="Cambria"/>
          <w:b/>
          <w:bCs/>
          <w:sz w:val="32"/>
          <w:szCs w:val="32"/>
          <w:lang w:val="en-US"/>
        </w:rPr>
        <w:t xml:space="preserve">Privileged visa regimes in the U.S. and Uzbekistan: </w:t>
      </w:r>
      <w:r w:rsidRPr="002551B2">
        <w:rPr>
          <w:rFonts w:ascii="Cambria" w:hAnsi="Cambria"/>
          <w:b/>
          <w:bCs/>
          <w:sz w:val="32"/>
          <w:szCs w:val="32"/>
          <w:lang w:val="en-US"/>
        </w:rPr>
        <w:br/>
        <w:t>comparative analysis and recommendations</w:t>
      </w:r>
    </w:p>
    <w:p w14:paraId="45FEFD39" w14:textId="2531ECD3" w:rsidR="00375215" w:rsidRPr="00D309BD" w:rsidRDefault="002551B2" w:rsidP="00C9781A">
      <w:pPr>
        <w:numPr>
          <w:ilvl w:val="0"/>
          <w:numId w:val="6"/>
        </w:numPr>
        <w:spacing w:before="120" w:after="120" w:line="276" w:lineRule="auto"/>
        <w:ind w:left="0" w:firstLine="851"/>
        <w:jc w:val="both"/>
        <w:rPr>
          <w:rFonts w:ascii="Cambria" w:hAnsi="Cambria"/>
          <w:sz w:val="26"/>
          <w:szCs w:val="26"/>
          <w:lang w:val="en-US"/>
        </w:rPr>
      </w:pPr>
      <w:r w:rsidRPr="00D309BD">
        <w:rPr>
          <w:rFonts w:ascii="Cambria" w:hAnsi="Cambria"/>
          <w:b/>
          <w:bCs/>
          <w:sz w:val="26"/>
          <w:szCs w:val="26"/>
          <w:lang w:val="en-US"/>
        </w:rPr>
        <w:t>Overview</w:t>
      </w:r>
      <w:r w:rsidR="00375215" w:rsidRPr="00D309BD">
        <w:rPr>
          <w:rFonts w:ascii="Cambria" w:hAnsi="Cambria"/>
          <w:b/>
          <w:bCs/>
          <w:sz w:val="26"/>
          <w:szCs w:val="26"/>
          <w:lang w:val="en-US"/>
        </w:rPr>
        <w:t>.</w:t>
      </w:r>
      <w:r w:rsidR="00375215" w:rsidRPr="00D309BD">
        <w:rPr>
          <w:rFonts w:ascii="Cambria" w:hAnsi="Cambria"/>
          <w:sz w:val="26"/>
          <w:szCs w:val="26"/>
          <w:lang w:val="en-US"/>
        </w:rPr>
        <w:t xml:space="preserve"> A new visa initiative of the U.S. Administration, </w:t>
      </w:r>
      <w:r w:rsidR="00375215" w:rsidRPr="00D309BD">
        <w:rPr>
          <w:rFonts w:ascii="Cambria" w:hAnsi="Cambria"/>
          <w:b/>
          <w:bCs/>
          <w:sz w:val="26"/>
          <w:szCs w:val="26"/>
          <w:lang w:val="en-US"/>
        </w:rPr>
        <w:t xml:space="preserve">The Trump Gold Card, </w:t>
      </w:r>
      <w:r w:rsidR="00375215" w:rsidRPr="00D309BD">
        <w:rPr>
          <w:rFonts w:ascii="Cambria" w:hAnsi="Cambria"/>
          <w:sz w:val="26"/>
          <w:szCs w:val="26"/>
          <w:lang w:val="en-US"/>
        </w:rPr>
        <w:t>has</w:t>
      </w:r>
      <w:r w:rsidR="00D309BD">
        <w:rPr>
          <w:rFonts w:ascii="Cambria" w:hAnsi="Cambria"/>
          <w:sz w:val="26"/>
          <w:szCs w:val="26"/>
          <w:lang w:val="en-US"/>
        </w:rPr>
        <w:t xml:space="preserve"> </w:t>
      </w:r>
      <w:r w:rsidR="00375215" w:rsidRPr="00D309BD">
        <w:rPr>
          <w:rFonts w:ascii="Cambria" w:hAnsi="Cambria"/>
          <w:sz w:val="26"/>
          <w:szCs w:val="26"/>
          <w:lang w:val="en-US"/>
        </w:rPr>
        <w:t>entered into force in December 2025</w:t>
      </w:r>
      <w:r w:rsidR="00C9781A" w:rsidRPr="00C9781A">
        <w:rPr>
          <w:rFonts w:ascii="Cambria" w:hAnsi="Cambria"/>
          <w:sz w:val="26"/>
          <w:szCs w:val="26"/>
          <w:lang w:val="en-US"/>
        </w:rPr>
        <w:t> </w:t>
      </w:r>
      <w:r w:rsidR="00375215" w:rsidRPr="00D309BD">
        <w:rPr>
          <w:rFonts w:ascii="Cambria" w:hAnsi="Cambria"/>
          <w:sz w:val="26"/>
          <w:szCs w:val="26"/>
          <w:lang w:val="en-US"/>
        </w:rPr>
        <w:t>after 90</w:t>
      </w:r>
      <w:r w:rsidR="00C9781A" w:rsidRPr="00C9781A">
        <w:rPr>
          <w:rFonts w:ascii="Cambria" w:hAnsi="Cambria"/>
          <w:sz w:val="26"/>
          <w:szCs w:val="26"/>
          <w:lang w:val="en-US"/>
        </w:rPr>
        <w:t> </w:t>
      </w:r>
      <w:r w:rsidR="00375215" w:rsidRPr="00D309BD">
        <w:rPr>
          <w:rFonts w:ascii="Cambria" w:hAnsi="Cambria"/>
          <w:sz w:val="26"/>
          <w:szCs w:val="26"/>
          <w:lang w:val="en-US"/>
        </w:rPr>
        <w:t xml:space="preserve">days prescribed by the Presidential </w:t>
      </w:r>
      <w:r w:rsidR="00375215" w:rsidRPr="00D309BD">
        <w:rPr>
          <w:rFonts w:ascii="Cambria" w:hAnsi="Cambria"/>
          <w:i/>
          <w:iCs/>
          <w:sz w:val="26"/>
          <w:szCs w:val="26"/>
          <w:lang w:val="en-US"/>
        </w:rPr>
        <w:t>Executive Order</w:t>
      </w:r>
      <w:r w:rsidR="00C9781A" w:rsidRPr="00C9781A">
        <w:rPr>
          <w:rFonts w:ascii="Cambria" w:hAnsi="Cambria"/>
          <w:i/>
          <w:iCs/>
          <w:sz w:val="26"/>
          <w:szCs w:val="26"/>
          <w:lang w:val="en-US"/>
        </w:rPr>
        <w:t> </w:t>
      </w:r>
      <w:r w:rsidR="00375215" w:rsidRPr="00D309BD">
        <w:rPr>
          <w:rFonts w:ascii="Cambria" w:hAnsi="Cambria"/>
          <w:i/>
          <w:iCs/>
          <w:sz w:val="26"/>
          <w:szCs w:val="26"/>
          <w:lang w:val="en-US"/>
        </w:rPr>
        <w:t>14351</w:t>
      </w:r>
      <w:r w:rsidR="00375215" w:rsidRPr="00D309BD">
        <w:rPr>
          <w:rFonts w:ascii="Cambria" w:hAnsi="Cambria"/>
          <w:sz w:val="26"/>
          <w:szCs w:val="26"/>
          <w:lang w:val="en-US"/>
        </w:rPr>
        <w:t xml:space="preserve"> signed Sep 19, 2025.</w:t>
      </w:r>
      <w:r w:rsidR="00C9781A" w:rsidRPr="00C9781A">
        <w:rPr>
          <w:rFonts w:ascii="Cambria" w:hAnsi="Cambria"/>
          <w:sz w:val="26"/>
          <w:szCs w:val="26"/>
          <w:lang w:val="en-US"/>
        </w:rPr>
        <w:t> </w:t>
      </w:r>
      <w:r w:rsidR="00375215" w:rsidRPr="00D309BD">
        <w:rPr>
          <w:rFonts w:ascii="Cambria" w:hAnsi="Cambria"/>
          <w:sz w:val="26"/>
          <w:szCs w:val="26"/>
          <w:lang w:val="en-US"/>
        </w:rPr>
        <w:t>It is a fast-tracked visa scheme for wealthy foreigners who can provide a ‘substantial benefit’ to the U.S. economy by contributing $1</w:t>
      </w:r>
      <w:r w:rsidR="00C9781A" w:rsidRPr="00C9781A">
        <w:rPr>
          <w:rFonts w:ascii="Cambria" w:hAnsi="Cambria"/>
          <w:sz w:val="26"/>
          <w:szCs w:val="26"/>
          <w:lang w:val="en-US"/>
        </w:rPr>
        <w:t> </w:t>
      </w:r>
      <w:r w:rsidR="00375215" w:rsidRPr="00D309BD">
        <w:rPr>
          <w:rFonts w:ascii="Cambria" w:hAnsi="Cambria"/>
          <w:sz w:val="26"/>
          <w:szCs w:val="26"/>
          <w:lang w:val="en-US"/>
        </w:rPr>
        <w:t>m. Family members are also eligible, but subject to $</w:t>
      </w:r>
      <w:r w:rsidR="00C9781A" w:rsidRPr="00C9781A">
        <w:rPr>
          <w:rFonts w:ascii="Cambria" w:hAnsi="Cambria"/>
          <w:sz w:val="26"/>
          <w:szCs w:val="26"/>
          <w:lang w:val="en-US"/>
        </w:rPr>
        <w:t> </w:t>
      </w:r>
      <w:r w:rsidR="00375215" w:rsidRPr="00D309BD">
        <w:rPr>
          <w:rFonts w:ascii="Cambria" w:hAnsi="Cambria"/>
          <w:sz w:val="26"/>
          <w:szCs w:val="26"/>
          <w:lang w:val="en-US"/>
        </w:rPr>
        <w:t>1</w:t>
      </w:r>
      <w:r w:rsidR="00C9781A" w:rsidRPr="00C9781A">
        <w:rPr>
          <w:rFonts w:ascii="Cambria" w:hAnsi="Cambria"/>
          <w:sz w:val="26"/>
          <w:szCs w:val="26"/>
          <w:lang w:val="en-US"/>
        </w:rPr>
        <w:t> </w:t>
      </w:r>
      <w:r w:rsidR="00375215" w:rsidRPr="00D309BD">
        <w:rPr>
          <w:rFonts w:ascii="Cambria" w:hAnsi="Cambria"/>
          <w:sz w:val="26"/>
          <w:szCs w:val="26"/>
          <w:lang w:val="en-US"/>
        </w:rPr>
        <w:t>m gift each.</w:t>
      </w:r>
    </w:p>
    <w:p w14:paraId="62454F0B" w14:textId="36CABFDA" w:rsidR="00375215" w:rsidRPr="002551B2" w:rsidRDefault="00375215"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 xml:space="preserve">Besides, businesses sponsoring employees </w:t>
      </w:r>
      <w:r w:rsidRPr="00C9781A">
        <w:rPr>
          <w:rFonts w:ascii="Cambria" w:hAnsi="Cambria"/>
          <w:i/>
          <w:iCs/>
          <w:sz w:val="26"/>
          <w:szCs w:val="26"/>
          <w:lang w:val="en-US"/>
        </w:rPr>
        <w:t>(</w:t>
      </w:r>
      <w:r w:rsidRPr="00C9781A">
        <w:rPr>
          <w:rFonts w:ascii="Cambria" w:hAnsi="Cambria"/>
          <w:b/>
          <w:bCs/>
          <w:i/>
          <w:iCs/>
          <w:sz w:val="26"/>
          <w:szCs w:val="26"/>
          <w:lang w:val="en-US"/>
        </w:rPr>
        <w:t>The Trump Corporate Gold Card</w:t>
      </w:r>
      <w:r w:rsidRPr="00C9781A">
        <w:rPr>
          <w:rFonts w:ascii="Cambria" w:hAnsi="Cambria"/>
          <w:i/>
          <w:iCs/>
          <w:sz w:val="26"/>
          <w:szCs w:val="26"/>
          <w:lang w:val="en-US"/>
        </w:rPr>
        <w:t>)</w:t>
      </w:r>
      <w:r w:rsidRPr="002551B2">
        <w:rPr>
          <w:rFonts w:ascii="Cambria" w:hAnsi="Cambria"/>
          <w:sz w:val="26"/>
          <w:szCs w:val="26"/>
          <w:lang w:val="en-US"/>
        </w:rPr>
        <w:t xml:space="preserve"> are required to pay $</w:t>
      </w:r>
      <w:r w:rsidR="00C9781A" w:rsidRPr="00C9781A">
        <w:rPr>
          <w:rFonts w:ascii="Cambria" w:hAnsi="Cambria"/>
          <w:sz w:val="26"/>
          <w:szCs w:val="26"/>
          <w:lang w:val="en-US"/>
        </w:rPr>
        <w:t> </w:t>
      </w:r>
      <w:r w:rsidRPr="002551B2">
        <w:rPr>
          <w:rFonts w:ascii="Cambria" w:hAnsi="Cambria"/>
          <w:sz w:val="26"/>
          <w:szCs w:val="26"/>
          <w:lang w:val="en-US"/>
        </w:rPr>
        <w:t>2</w:t>
      </w:r>
      <w:r w:rsidR="00C9781A" w:rsidRPr="00C9781A">
        <w:rPr>
          <w:rFonts w:ascii="Cambria" w:hAnsi="Cambria"/>
          <w:sz w:val="26"/>
          <w:szCs w:val="26"/>
          <w:lang w:val="en-US"/>
        </w:rPr>
        <w:t> </w:t>
      </w:r>
      <w:r w:rsidRPr="002551B2">
        <w:rPr>
          <w:rFonts w:ascii="Cambria" w:hAnsi="Cambria"/>
          <w:sz w:val="26"/>
          <w:szCs w:val="26"/>
          <w:lang w:val="en-US"/>
        </w:rPr>
        <w:t xml:space="preserve">m for each applicant, irrespective of the number of sponsored ones. </w:t>
      </w:r>
    </w:p>
    <w:p w14:paraId="17F642F3" w14:textId="7D5118E2" w:rsidR="00375215" w:rsidRPr="002551B2" w:rsidRDefault="00375215"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 xml:space="preserve">A platinum version of the card that offers special tax breaks </w:t>
      </w:r>
      <w:r w:rsidRPr="00C9781A">
        <w:rPr>
          <w:rFonts w:ascii="Cambria" w:hAnsi="Cambria"/>
          <w:i/>
          <w:iCs/>
          <w:sz w:val="26"/>
          <w:szCs w:val="26"/>
          <w:lang w:val="en-US"/>
        </w:rPr>
        <w:t>(to spend up to 270</w:t>
      </w:r>
      <w:r w:rsidR="00C9781A" w:rsidRPr="00C9781A">
        <w:rPr>
          <w:rFonts w:ascii="Cambria" w:hAnsi="Cambria"/>
          <w:i/>
          <w:iCs/>
          <w:sz w:val="26"/>
          <w:szCs w:val="26"/>
          <w:lang w:val="en-US"/>
        </w:rPr>
        <w:t> </w:t>
      </w:r>
      <w:r w:rsidRPr="00C9781A">
        <w:rPr>
          <w:rFonts w:ascii="Cambria" w:hAnsi="Cambria"/>
          <w:i/>
          <w:iCs/>
          <w:sz w:val="26"/>
          <w:szCs w:val="26"/>
          <w:lang w:val="en-US"/>
        </w:rPr>
        <w:t>days in the US without being subject to U.S. taxes on non-U.S. income)</w:t>
      </w:r>
      <w:r w:rsidRPr="002551B2">
        <w:rPr>
          <w:rFonts w:ascii="Cambria" w:hAnsi="Cambria"/>
          <w:sz w:val="26"/>
          <w:szCs w:val="26"/>
          <w:lang w:val="en-US"/>
        </w:rPr>
        <w:t xml:space="preserve"> will also be available “soon” for $</w:t>
      </w:r>
      <w:r w:rsidR="00C9781A" w:rsidRPr="00C9781A">
        <w:rPr>
          <w:rFonts w:ascii="Cambria" w:hAnsi="Cambria"/>
          <w:sz w:val="26"/>
          <w:szCs w:val="26"/>
          <w:lang w:val="en-US"/>
        </w:rPr>
        <w:t> </w:t>
      </w:r>
      <w:r w:rsidRPr="002551B2">
        <w:rPr>
          <w:rFonts w:ascii="Cambria" w:hAnsi="Cambria"/>
          <w:sz w:val="26"/>
          <w:szCs w:val="26"/>
          <w:lang w:val="en-US"/>
        </w:rPr>
        <w:t>5</w:t>
      </w:r>
      <w:r w:rsidR="00C9781A" w:rsidRPr="00C9781A">
        <w:rPr>
          <w:rFonts w:ascii="Cambria" w:hAnsi="Cambria"/>
          <w:sz w:val="26"/>
          <w:szCs w:val="26"/>
          <w:lang w:val="en-US"/>
        </w:rPr>
        <w:t> </w:t>
      </w:r>
      <w:r w:rsidRPr="002551B2">
        <w:rPr>
          <w:rFonts w:ascii="Cambria" w:hAnsi="Cambria"/>
          <w:sz w:val="26"/>
          <w:szCs w:val="26"/>
          <w:lang w:val="en-US"/>
        </w:rPr>
        <w:t>m.</w:t>
      </w:r>
    </w:p>
    <w:p w14:paraId="5D73119C" w14:textId="79031EF4" w:rsidR="00375215" w:rsidRPr="002551B2" w:rsidRDefault="00375215"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Applicant must pay a nonrefundable $</w:t>
      </w:r>
      <w:r w:rsidR="00C9781A" w:rsidRPr="00C9781A">
        <w:rPr>
          <w:rFonts w:ascii="Cambria" w:hAnsi="Cambria"/>
          <w:sz w:val="26"/>
          <w:szCs w:val="26"/>
          <w:lang w:val="en-US"/>
        </w:rPr>
        <w:t> </w:t>
      </w:r>
      <w:r w:rsidRPr="002551B2">
        <w:rPr>
          <w:rFonts w:ascii="Cambria" w:hAnsi="Cambria"/>
          <w:sz w:val="26"/>
          <w:szCs w:val="26"/>
          <w:lang w:val="en-US"/>
        </w:rPr>
        <w:t>15,000</w:t>
      </w:r>
      <w:r w:rsidR="00C9781A" w:rsidRPr="00C9781A">
        <w:rPr>
          <w:rFonts w:ascii="Cambria" w:hAnsi="Cambria"/>
          <w:sz w:val="26"/>
          <w:szCs w:val="26"/>
          <w:lang w:val="en-US"/>
        </w:rPr>
        <w:t> </w:t>
      </w:r>
      <w:r w:rsidRPr="002551B2">
        <w:rPr>
          <w:rFonts w:ascii="Cambria" w:hAnsi="Cambria"/>
          <w:sz w:val="26"/>
          <w:szCs w:val="26"/>
          <w:lang w:val="en-US"/>
        </w:rPr>
        <w:t xml:space="preserve">processing fee for Department of Homeland Security </w:t>
      </w:r>
      <w:r w:rsidRPr="00C9781A">
        <w:rPr>
          <w:rFonts w:ascii="Cambria" w:hAnsi="Cambria"/>
          <w:i/>
          <w:iCs/>
          <w:sz w:val="26"/>
          <w:szCs w:val="26"/>
          <w:lang w:val="en-US"/>
        </w:rPr>
        <w:t>(DHS)</w:t>
      </w:r>
      <w:r w:rsidRPr="002551B2">
        <w:rPr>
          <w:rFonts w:ascii="Cambria" w:hAnsi="Cambria"/>
          <w:sz w:val="26"/>
          <w:szCs w:val="26"/>
          <w:lang w:val="en-US"/>
        </w:rPr>
        <w:t>. Individuals may also have to pay additional fees to the Department of State “depending on circumstances”. Extra fees to the government may be charged conditional on each applicant’s circumstances.</w:t>
      </w:r>
    </w:p>
    <w:p w14:paraId="22776364" w14:textId="77777777" w:rsidR="00375215" w:rsidRPr="002551B2" w:rsidRDefault="00375215"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As appropriately determined by the DHS and subject to availability, a successful applicant receives lawful permanent resident status as an EB-1 or EB-2 visa holder. As the official trumpcard.gov states, “small number of countries may have wait times of up to a year or more based on visa availability”.</w:t>
      </w:r>
    </w:p>
    <w:p w14:paraId="12555F6C" w14:textId="77777777" w:rsidR="00D309BD" w:rsidRDefault="00375215"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The card, according to Trump, will provide a “direct path to Citizenship for all qualified and vetted people” in “record time”, “in weeks”. He described the card as “somewhat like a green card, but with big advantage,” adding that companies will now be able to “buy a card and keep that person in the United States,” including graduates from “Wharton School of Finance, Stern Business School, Harvard and MIT.”</w:t>
      </w:r>
    </w:p>
    <w:p w14:paraId="0AF45E03" w14:textId="42D22154" w:rsidR="00375215" w:rsidRPr="002551B2" w:rsidRDefault="00375215" w:rsidP="00C9781A">
      <w:pPr>
        <w:numPr>
          <w:ilvl w:val="0"/>
          <w:numId w:val="6"/>
        </w:numPr>
        <w:spacing w:before="120" w:after="120" w:line="276" w:lineRule="auto"/>
        <w:ind w:left="0" w:firstLine="851"/>
        <w:jc w:val="both"/>
        <w:rPr>
          <w:rFonts w:ascii="Cambria" w:hAnsi="Cambria"/>
          <w:sz w:val="26"/>
          <w:szCs w:val="26"/>
          <w:lang w:val="en-US"/>
        </w:rPr>
      </w:pPr>
      <w:r w:rsidRPr="002551B2">
        <w:rPr>
          <w:rFonts w:ascii="Cambria" w:hAnsi="Cambria"/>
          <w:b/>
          <w:bCs/>
          <w:sz w:val="26"/>
          <w:szCs w:val="26"/>
          <w:lang w:val="en-US"/>
        </w:rPr>
        <w:t>Uzbekistan</w:t>
      </w:r>
      <w:r w:rsidRPr="002551B2">
        <w:rPr>
          <w:rFonts w:ascii="Cambria" w:hAnsi="Cambria"/>
          <w:sz w:val="26"/>
          <w:szCs w:val="26"/>
          <w:lang w:val="en-US"/>
        </w:rPr>
        <w:t xml:space="preserve"> has introduced several mechanisms to stimulate the inflow of foreign investment by providing visa and immigration benefits</w:t>
      </w:r>
      <w:r w:rsidR="00A45035" w:rsidRPr="002551B2">
        <w:rPr>
          <w:rFonts w:ascii="Cambria" w:hAnsi="Cambria"/>
          <w:sz w:val="26"/>
          <w:szCs w:val="26"/>
          <w:lang w:val="en-US"/>
        </w:rPr>
        <w:t xml:space="preserve"> </w:t>
      </w:r>
      <w:r w:rsidR="00A45035" w:rsidRPr="002551B2">
        <w:rPr>
          <w:rFonts w:ascii="Cambria" w:hAnsi="Cambria"/>
          <w:i/>
          <w:iCs/>
          <w:sz w:val="26"/>
          <w:szCs w:val="26"/>
          <w:lang w:val="en-US"/>
        </w:rPr>
        <w:t>(see table below)</w:t>
      </w:r>
      <w:r w:rsidRPr="002551B2">
        <w:rPr>
          <w:rFonts w:ascii="Cambria" w:hAnsi="Cambria"/>
          <w:sz w:val="26"/>
          <w:szCs w:val="26"/>
          <w:lang w:val="en-US"/>
        </w:rPr>
        <w:t>. Principal instruments include:</w:t>
      </w:r>
    </w:p>
    <w:p w14:paraId="5BC7405A" w14:textId="2603499C" w:rsidR="00375215" w:rsidRPr="00D309BD" w:rsidRDefault="00375215" w:rsidP="00C9781A">
      <w:pPr>
        <w:pStyle w:val="a7"/>
        <w:numPr>
          <w:ilvl w:val="0"/>
          <w:numId w:val="7"/>
        </w:numPr>
        <w:spacing w:before="120" w:after="120" w:line="276" w:lineRule="auto"/>
        <w:ind w:left="0" w:firstLine="567"/>
        <w:jc w:val="both"/>
        <w:rPr>
          <w:rFonts w:ascii="Cambria" w:hAnsi="Cambria"/>
          <w:sz w:val="26"/>
          <w:szCs w:val="26"/>
          <w:lang w:val="en-US"/>
        </w:rPr>
      </w:pPr>
      <w:r w:rsidRPr="00D309BD">
        <w:rPr>
          <w:rFonts w:ascii="Cambria" w:hAnsi="Cambria"/>
          <w:b/>
          <w:bCs/>
          <w:sz w:val="26"/>
          <w:szCs w:val="26"/>
          <w:lang w:val="en-US"/>
        </w:rPr>
        <w:t xml:space="preserve">Residence permit through the purchase of real estate </w:t>
      </w:r>
      <w:r w:rsidRPr="00D309BD">
        <w:rPr>
          <w:rFonts w:ascii="Cambria" w:hAnsi="Cambria"/>
          <w:sz w:val="26"/>
          <w:szCs w:val="26"/>
          <w:lang w:val="en-US"/>
        </w:rPr>
        <w:t xml:space="preserve">offering foreign investors and their families – when purchasing housing for a large sum – to obtain a permanent residence permit </w:t>
      </w:r>
      <w:r w:rsidRPr="005B6F49">
        <w:rPr>
          <w:rFonts w:ascii="Cambria" w:hAnsi="Cambria"/>
          <w:i/>
          <w:iCs/>
          <w:sz w:val="26"/>
          <w:szCs w:val="26"/>
          <w:lang w:val="en-US"/>
        </w:rPr>
        <w:t>(PDR)</w:t>
      </w:r>
      <w:r w:rsidRPr="00D309BD">
        <w:rPr>
          <w:rFonts w:ascii="Cambria" w:hAnsi="Cambria"/>
          <w:sz w:val="26"/>
          <w:szCs w:val="26"/>
          <w:lang w:val="en-US"/>
        </w:rPr>
        <w:t xml:space="preserve"> for a period of 5</w:t>
      </w:r>
      <w:r w:rsidR="00C9781A" w:rsidRPr="00C9781A">
        <w:rPr>
          <w:rFonts w:ascii="Cambria" w:hAnsi="Cambria"/>
          <w:sz w:val="26"/>
          <w:szCs w:val="26"/>
          <w:lang w:val="en-US"/>
        </w:rPr>
        <w:t> </w:t>
      </w:r>
      <w:r w:rsidRPr="00D309BD">
        <w:rPr>
          <w:rFonts w:ascii="Cambria" w:hAnsi="Cambria"/>
          <w:sz w:val="26"/>
          <w:szCs w:val="26"/>
          <w:lang w:val="en-US"/>
        </w:rPr>
        <w:t xml:space="preserve">years with the right to renew it. </w:t>
      </w:r>
    </w:p>
    <w:p w14:paraId="05FC9D6E" w14:textId="0DF3BB29" w:rsidR="00375215" w:rsidRPr="002551B2" w:rsidRDefault="00375215" w:rsidP="00C9781A">
      <w:pPr>
        <w:pStyle w:val="a7"/>
        <w:numPr>
          <w:ilvl w:val="0"/>
          <w:numId w:val="7"/>
        </w:numPr>
        <w:spacing w:before="120" w:after="120" w:line="276" w:lineRule="auto"/>
        <w:ind w:left="0" w:firstLine="567"/>
        <w:jc w:val="both"/>
        <w:rPr>
          <w:rFonts w:ascii="Cambria" w:hAnsi="Cambria"/>
          <w:sz w:val="26"/>
          <w:szCs w:val="26"/>
          <w:lang w:val="en-US"/>
        </w:rPr>
      </w:pPr>
      <w:r w:rsidRPr="002551B2">
        <w:rPr>
          <w:rFonts w:ascii="Cambria" w:hAnsi="Cambria"/>
          <w:b/>
          <w:bCs/>
          <w:sz w:val="26"/>
          <w:szCs w:val="26"/>
          <w:lang w:val="en-US"/>
        </w:rPr>
        <w:t>Golden visa</w:t>
      </w:r>
      <w:r w:rsidRPr="002551B2">
        <w:rPr>
          <w:rFonts w:ascii="Cambria" w:hAnsi="Cambria"/>
          <w:sz w:val="26"/>
          <w:szCs w:val="26"/>
          <w:lang w:val="en-US"/>
        </w:rPr>
        <w:t xml:space="preserve"> for foreign investors to obtain a five-year residence permit under a simplified scheme, making a non-refundable contribution of $</w:t>
      </w:r>
      <w:r w:rsidR="00C9781A" w:rsidRPr="00C9781A">
        <w:rPr>
          <w:rFonts w:ascii="Cambria" w:hAnsi="Cambria"/>
          <w:sz w:val="26"/>
          <w:szCs w:val="26"/>
          <w:lang w:val="en-US"/>
        </w:rPr>
        <w:t> </w:t>
      </w:r>
      <w:r w:rsidRPr="002551B2">
        <w:rPr>
          <w:rFonts w:ascii="Cambria" w:hAnsi="Cambria"/>
          <w:sz w:val="26"/>
          <w:szCs w:val="26"/>
          <w:lang w:val="en-US"/>
        </w:rPr>
        <w:t>250,000 to Uzbekistan’s economy without the obligatory purchase of housing. Additional $</w:t>
      </w:r>
      <w:r w:rsidR="00C9781A" w:rsidRPr="00C9781A">
        <w:rPr>
          <w:rFonts w:ascii="Cambria" w:hAnsi="Cambria"/>
          <w:sz w:val="26"/>
          <w:szCs w:val="26"/>
          <w:lang w:val="en-US"/>
        </w:rPr>
        <w:t> </w:t>
      </w:r>
      <w:r w:rsidRPr="002551B2">
        <w:rPr>
          <w:rFonts w:ascii="Cambria" w:hAnsi="Cambria"/>
          <w:sz w:val="26"/>
          <w:szCs w:val="26"/>
          <w:lang w:val="en-US"/>
        </w:rPr>
        <w:t xml:space="preserve">150,000 is due for each family member </w:t>
      </w:r>
      <w:r w:rsidRPr="00C9781A">
        <w:rPr>
          <w:rFonts w:ascii="Cambria" w:hAnsi="Cambria"/>
          <w:i/>
          <w:iCs/>
          <w:sz w:val="26"/>
          <w:szCs w:val="26"/>
          <w:lang w:val="en-US"/>
        </w:rPr>
        <w:t>(spouse, children, parents)</w:t>
      </w:r>
      <w:r w:rsidRPr="002551B2">
        <w:rPr>
          <w:rFonts w:ascii="Cambria" w:hAnsi="Cambria"/>
          <w:sz w:val="26"/>
          <w:szCs w:val="26"/>
          <w:lang w:val="en-US"/>
        </w:rPr>
        <w:t>. It is accompanied by benefits: in addition to the right to reside, tax preferences, participation in public projects, simplified access to banking services, etc. are promised.</w:t>
      </w:r>
    </w:p>
    <w:p w14:paraId="47304B8B" w14:textId="15481AD7" w:rsidR="00375215" w:rsidRPr="002551B2" w:rsidRDefault="00375215" w:rsidP="00C9781A">
      <w:pPr>
        <w:pStyle w:val="a7"/>
        <w:numPr>
          <w:ilvl w:val="0"/>
          <w:numId w:val="7"/>
        </w:numPr>
        <w:spacing w:before="120" w:after="120" w:line="276" w:lineRule="auto"/>
        <w:ind w:left="0" w:firstLine="567"/>
        <w:jc w:val="both"/>
        <w:rPr>
          <w:rFonts w:ascii="Cambria" w:hAnsi="Cambria"/>
          <w:sz w:val="26"/>
          <w:szCs w:val="26"/>
          <w:lang w:val="en-US"/>
        </w:rPr>
      </w:pPr>
      <w:r w:rsidRPr="002551B2">
        <w:rPr>
          <w:rFonts w:ascii="Cambria" w:hAnsi="Cambria"/>
          <w:b/>
          <w:bCs/>
          <w:sz w:val="26"/>
          <w:szCs w:val="26"/>
          <w:lang w:val="en-US"/>
        </w:rPr>
        <w:lastRenderedPageBreak/>
        <w:t xml:space="preserve">Multiple investment visa </w:t>
      </w:r>
      <w:r w:rsidRPr="002551B2">
        <w:rPr>
          <w:rFonts w:ascii="Cambria" w:hAnsi="Cambria"/>
          <w:sz w:val="26"/>
          <w:szCs w:val="26"/>
          <w:lang w:val="en-US"/>
        </w:rPr>
        <w:t>entitling</w:t>
      </w:r>
      <w:r w:rsidRPr="002551B2">
        <w:rPr>
          <w:rFonts w:ascii="Cambria" w:hAnsi="Cambria"/>
          <w:b/>
          <w:bCs/>
          <w:sz w:val="26"/>
          <w:szCs w:val="26"/>
          <w:lang w:val="en-US"/>
        </w:rPr>
        <w:t xml:space="preserve"> </w:t>
      </w:r>
      <w:r w:rsidRPr="002551B2">
        <w:rPr>
          <w:rFonts w:ascii="Cambria" w:hAnsi="Cambria"/>
          <w:sz w:val="26"/>
          <w:szCs w:val="26"/>
          <w:lang w:val="en-US"/>
        </w:rPr>
        <w:t xml:space="preserve">founders and participants of enterprises with foreign investments with a long-term right to stay </w:t>
      </w:r>
      <w:r w:rsidRPr="00C9781A">
        <w:rPr>
          <w:rFonts w:ascii="Cambria" w:hAnsi="Cambria"/>
          <w:i/>
          <w:iCs/>
          <w:sz w:val="26"/>
          <w:szCs w:val="26"/>
          <w:lang w:val="en-US"/>
        </w:rPr>
        <w:t>(a period of up to 3</w:t>
      </w:r>
      <w:r w:rsidR="00C9781A" w:rsidRPr="00C9781A">
        <w:rPr>
          <w:rFonts w:ascii="Cambria" w:hAnsi="Cambria"/>
          <w:i/>
          <w:iCs/>
          <w:sz w:val="26"/>
          <w:szCs w:val="26"/>
          <w:lang w:val="en-US"/>
        </w:rPr>
        <w:t> </w:t>
      </w:r>
      <w:r w:rsidRPr="00C9781A">
        <w:rPr>
          <w:rFonts w:ascii="Cambria" w:hAnsi="Cambria"/>
          <w:i/>
          <w:iCs/>
          <w:sz w:val="26"/>
          <w:szCs w:val="26"/>
          <w:lang w:val="en-US"/>
        </w:rPr>
        <w:t>years)</w:t>
      </w:r>
      <w:r w:rsidRPr="002551B2">
        <w:rPr>
          <w:rFonts w:ascii="Cambria" w:hAnsi="Cambria"/>
          <w:sz w:val="26"/>
          <w:szCs w:val="26"/>
          <w:lang w:val="en-US"/>
        </w:rPr>
        <w:t>, short of permanent residence.</w:t>
      </w:r>
    </w:p>
    <w:p w14:paraId="6BD62A90" w14:textId="123F8EB5" w:rsidR="002551B2" w:rsidRPr="00C9781A" w:rsidRDefault="00375215" w:rsidP="00C9781A">
      <w:pPr>
        <w:pStyle w:val="a7"/>
        <w:numPr>
          <w:ilvl w:val="0"/>
          <w:numId w:val="7"/>
        </w:numPr>
        <w:spacing w:before="120" w:after="120" w:line="276" w:lineRule="auto"/>
        <w:ind w:left="0" w:firstLine="567"/>
        <w:jc w:val="both"/>
        <w:rPr>
          <w:rFonts w:ascii="Cambria" w:hAnsi="Cambria"/>
          <w:sz w:val="26"/>
          <w:szCs w:val="26"/>
          <w:lang w:val="en-US"/>
        </w:rPr>
      </w:pPr>
      <w:r w:rsidRPr="002551B2">
        <w:rPr>
          <w:rFonts w:ascii="Cambria" w:hAnsi="Cambria"/>
          <w:b/>
          <w:bCs/>
          <w:sz w:val="26"/>
          <w:szCs w:val="26"/>
          <w:lang w:val="en-US"/>
        </w:rPr>
        <w:t>IT visa</w:t>
      </w:r>
      <w:r w:rsidRPr="002551B2">
        <w:rPr>
          <w:rFonts w:ascii="Cambria" w:hAnsi="Cambria"/>
          <w:sz w:val="26"/>
          <w:szCs w:val="26"/>
          <w:lang w:val="en-US"/>
        </w:rPr>
        <w:t xml:space="preserve"> is a multiple-entry visa valid for up to 3</w:t>
      </w:r>
      <w:r w:rsidR="00C9781A" w:rsidRPr="00C9781A">
        <w:rPr>
          <w:rFonts w:ascii="Cambria" w:hAnsi="Cambria"/>
          <w:sz w:val="26"/>
          <w:szCs w:val="26"/>
          <w:lang w:val="en-US"/>
        </w:rPr>
        <w:t> </w:t>
      </w:r>
      <w:r w:rsidRPr="002551B2">
        <w:rPr>
          <w:rFonts w:ascii="Cambria" w:hAnsi="Cambria"/>
          <w:sz w:val="26"/>
          <w:szCs w:val="26"/>
          <w:lang w:val="en-US"/>
        </w:rPr>
        <w:t>years, subject to extension within country without requirement to leave. Not a residence permit, it gives foreign IT investors, founders and specialists the right to stay and work in Uzbekistan for a long time. Citizens of countries with a visa-free regime are entitled for IT Card providing the same benefits as IT visa.</w:t>
      </w:r>
    </w:p>
    <w:p w14:paraId="6F72EA66" w14:textId="30FE1C45" w:rsidR="002551B2" w:rsidRPr="002551B2" w:rsidRDefault="002551B2" w:rsidP="005B6F49">
      <w:pPr>
        <w:numPr>
          <w:ilvl w:val="0"/>
          <w:numId w:val="6"/>
        </w:numPr>
        <w:spacing w:before="120" w:after="120" w:line="276" w:lineRule="auto"/>
        <w:ind w:left="0" w:firstLine="851"/>
        <w:jc w:val="both"/>
        <w:rPr>
          <w:rFonts w:ascii="Cambria" w:hAnsi="Cambria"/>
          <w:sz w:val="26"/>
          <w:szCs w:val="26"/>
          <w:lang w:val="en-US"/>
        </w:rPr>
      </w:pPr>
      <w:r w:rsidRPr="002551B2">
        <w:rPr>
          <w:rFonts w:ascii="Cambria" w:hAnsi="Cambria"/>
          <w:b/>
          <w:bCs/>
          <w:sz w:val="26"/>
          <w:szCs w:val="26"/>
          <w:lang w:val="en-US"/>
        </w:rPr>
        <w:t>Recommendations</w:t>
      </w:r>
      <w:r w:rsidRPr="002551B2">
        <w:rPr>
          <w:rFonts w:ascii="Cambria" w:hAnsi="Cambria"/>
          <w:sz w:val="26"/>
          <w:szCs w:val="26"/>
          <w:lang w:val="en-US"/>
        </w:rPr>
        <w:t xml:space="preserve"> for perfecting the existing visa regimes </w:t>
      </w:r>
      <w:r w:rsidRPr="00C9781A">
        <w:rPr>
          <w:rFonts w:ascii="Cambria" w:hAnsi="Cambria"/>
          <w:i/>
          <w:iCs/>
          <w:sz w:val="26"/>
          <w:szCs w:val="26"/>
          <w:lang w:val="en-US"/>
        </w:rPr>
        <w:t>(as part of the Enterprise Uzbekistan project)</w:t>
      </w:r>
      <w:r w:rsidRPr="002551B2">
        <w:rPr>
          <w:rFonts w:ascii="Cambria" w:hAnsi="Cambria"/>
          <w:sz w:val="26"/>
          <w:szCs w:val="26"/>
          <w:lang w:val="en-US"/>
        </w:rPr>
        <w:t>:</w:t>
      </w:r>
    </w:p>
    <w:p w14:paraId="50443B60" w14:textId="77777777" w:rsidR="00B8354C" w:rsidRPr="00B8354C" w:rsidRDefault="002551B2"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 xml:space="preserve">Introduction of a separate privileged visa regime for Uzbekistan is currently considered redundant given the availability of three such schemes. Instead, introduction of </w:t>
      </w:r>
      <w:r w:rsidR="00795062" w:rsidRPr="00B8354C">
        <w:rPr>
          <w:rFonts w:ascii="Cambria" w:hAnsi="Cambria"/>
          <w:b/>
          <w:bCs/>
          <w:sz w:val="26"/>
          <w:szCs w:val="26"/>
          <w:lang w:val="en-US"/>
        </w:rPr>
        <w:t>«</w:t>
      </w:r>
      <w:r w:rsidRPr="00B8354C">
        <w:rPr>
          <w:rFonts w:ascii="Cambria" w:hAnsi="Cambria"/>
          <w:b/>
          <w:bCs/>
          <w:i/>
          <w:iCs/>
          <w:sz w:val="26"/>
          <w:szCs w:val="26"/>
          <w:lang w:val="en-US"/>
        </w:rPr>
        <w:t xml:space="preserve">Investment Visa </w:t>
      </w:r>
      <w:r w:rsidR="00B8354C" w:rsidRPr="00B8354C">
        <w:rPr>
          <w:rFonts w:ascii="Cambria" w:hAnsi="Cambria"/>
          <w:b/>
          <w:bCs/>
          <w:i/>
          <w:iCs/>
          <w:sz w:val="26"/>
          <w:szCs w:val="26"/>
          <w:lang w:val="en-US"/>
        </w:rPr>
        <w:t>–</w:t>
      </w:r>
      <w:r w:rsidR="00795062" w:rsidRPr="00B8354C">
        <w:rPr>
          <w:rFonts w:ascii="Cambria" w:hAnsi="Cambria"/>
          <w:b/>
          <w:bCs/>
          <w:i/>
          <w:iCs/>
          <w:sz w:val="26"/>
          <w:szCs w:val="26"/>
          <w:lang w:val="en-US"/>
        </w:rPr>
        <w:t xml:space="preserve"> </w:t>
      </w:r>
      <w:r w:rsidRPr="00B8354C">
        <w:rPr>
          <w:rFonts w:ascii="Cambria" w:hAnsi="Cambria"/>
          <w:b/>
          <w:bCs/>
          <w:i/>
          <w:iCs/>
          <w:sz w:val="26"/>
          <w:szCs w:val="26"/>
          <w:lang w:val="en-US"/>
        </w:rPr>
        <w:t>Enterprise Uzbekistan</w:t>
      </w:r>
      <w:r w:rsidR="00795062" w:rsidRPr="00B8354C">
        <w:rPr>
          <w:rFonts w:ascii="Cambria" w:hAnsi="Cambria"/>
          <w:b/>
          <w:bCs/>
          <w:i/>
          <w:iCs/>
          <w:sz w:val="26"/>
          <w:szCs w:val="26"/>
          <w:lang w:val="en-US"/>
        </w:rPr>
        <w:t>»</w:t>
      </w:r>
      <w:r w:rsidRPr="002551B2">
        <w:rPr>
          <w:rFonts w:ascii="Cambria" w:hAnsi="Cambria"/>
          <w:sz w:val="26"/>
          <w:szCs w:val="26"/>
          <w:lang w:val="en-US"/>
        </w:rPr>
        <w:t>, a sub-scheme of the existing Investment Visa, is deemed viable.</w:t>
      </w:r>
    </w:p>
    <w:p w14:paraId="26974BDC" w14:textId="3736E6E2" w:rsidR="002551B2" w:rsidRPr="002551B2" w:rsidRDefault="002551B2"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 xml:space="preserve">The proposed new sub-regime would come with some additional benefits and adjustments to the Investment Visa, taking into account the latest developments in international best practices. Such a mechanism would combine financial and economic benefits for Uzbekistan and attractiveness for the investors: they gain swift access to the national and possibly regional market in exchange for investment. </w:t>
      </w:r>
    </w:p>
    <w:p w14:paraId="1545F3B1" w14:textId="1318D701" w:rsidR="002551B2" w:rsidRPr="002551B2" w:rsidRDefault="002551B2" w:rsidP="00C9781A">
      <w:pPr>
        <w:spacing w:before="120" w:after="120" w:line="276" w:lineRule="auto"/>
        <w:ind w:firstLine="709"/>
        <w:jc w:val="both"/>
        <w:rPr>
          <w:rFonts w:ascii="Cambria" w:hAnsi="Cambria"/>
          <w:sz w:val="26"/>
          <w:szCs w:val="26"/>
          <w:lang w:val="en-US"/>
        </w:rPr>
      </w:pPr>
      <w:r w:rsidRPr="002551B2">
        <w:rPr>
          <w:rFonts w:ascii="Cambria" w:hAnsi="Cambria"/>
          <w:sz w:val="26"/>
          <w:szCs w:val="26"/>
          <w:lang w:val="en-US"/>
        </w:rPr>
        <w:t xml:space="preserve">Similar to the Trump Gold Card, the sub-scheme could offer a long-term visa or residence permit along with a range of social benefits in exchange for a significant targeted contribution to the development of Enterprise Uzbekistan. Thus, </w:t>
      </w:r>
      <w:r w:rsidRPr="00B8354C">
        <w:rPr>
          <w:rFonts w:ascii="Cambria" w:hAnsi="Cambria"/>
          <w:b/>
          <w:bCs/>
          <w:sz w:val="26"/>
          <w:szCs w:val="26"/>
          <w:lang w:val="en-US"/>
        </w:rPr>
        <w:t xml:space="preserve">basic parameters of </w:t>
      </w:r>
      <w:r w:rsidR="00B8354C" w:rsidRPr="00B8354C">
        <w:rPr>
          <w:rFonts w:ascii="Cambria" w:hAnsi="Cambria"/>
          <w:b/>
          <w:bCs/>
          <w:sz w:val="26"/>
          <w:szCs w:val="26"/>
          <w:lang w:val="en-US"/>
        </w:rPr>
        <w:t>«</w:t>
      </w:r>
      <w:r w:rsidRPr="00B8354C">
        <w:rPr>
          <w:rFonts w:ascii="Cambria" w:hAnsi="Cambria"/>
          <w:b/>
          <w:bCs/>
          <w:i/>
          <w:iCs/>
          <w:sz w:val="26"/>
          <w:szCs w:val="26"/>
          <w:lang w:val="en-US"/>
        </w:rPr>
        <w:t>Investment Visa Enterprise Uzbekistan</w:t>
      </w:r>
      <w:r w:rsidR="00B8354C" w:rsidRPr="00B8354C">
        <w:rPr>
          <w:rFonts w:ascii="Cambria" w:hAnsi="Cambria"/>
          <w:b/>
          <w:bCs/>
          <w:i/>
          <w:iCs/>
          <w:sz w:val="26"/>
          <w:szCs w:val="26"/>
          <w:lang w:val="en-US"/>
        </w:rPr>
        <w:t>»</w:t>
      </w:r>
      <w:r w:rsidRPr="00B8354C">
        <w:rPr>
          <w:rFonts w:ascii="Cambria" w:hAnsi="Cambria"/>
          <w:b/>
          <w:bCs/>
          <w:sz w:val="26"/>
          <w:szCs w:val="26"/>
          <w:lang w:val="en-US"/>
        </w:rPr>
        <w:t xml:space="preserve"> would in particular look like the following</w:t>
      </w:r>
      <w:r w:rsidRPr="002551B2">
        <w:rPr>
          <w:rFonts w:ascii="Cambria" w:hAnsi="Cambria"/>
          <w:sz w:val="26"/>
          <w:szCs w:val="26"/>
          <w:lang w:val="en-US"/>
        </w:rPr>
        <w:t>.</w:t>
      </w:r>
    </w:p>
    <w:p w14:paraId="37A28CB1" w14:textId="7C0B0FF6"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Type of resident status granted: Residence permit for up to 5</w:t>
      </w:r>
      <w:r w:rsidR="00C9781A" w:rsidRPr="00B8354C">
        <w:rPr>
          <w:rFonts w:ascii="Cambria" w:hAnsi="Cambria"/>
          <w:sz w:val="26"/>
          <w:szCs w:val="26"/>
          <w:lang w:val="en-US"/>
        </w:rPr>
        <w:t> </w:t>
      </w:r>
      <w:r w:rsidRPr="00B8354C">
        <w:rPr>
          <w:rFonts w:ascii="Cambria" w:hAnsi="Cambria"/>
          <w:sz w:val="26"/>
          <w:szCs w:val="26"/>
          <w:lang w:val="en-US"/>
        </w:rPr>
        <w:t>years, leading</w:t>
      </w:r>
      <w:r w:rsidR="00C9781A" w:rsidRPr="00B8354C">
        <w:rPr>
          <w:rFonts w:ascii="Cambria" w:hAnsi="Cambria"/>
          <w:sz w:val="26"/>
          <w:szCs w:val="26"/>
          <w:lang w:val="en-US"/>
        </w:rPr>
        <w:t>,</w:t>
      </w:r>
      <w:r w:rsidRPr="00B8354C">
        <w:rPr>
          <w:rFonts w:ascii="Cambria" w:hAnsi="Cambria"/>
          <w:sz w:val="26"/>
          <w:szCs w:val="26"/>
          <w:lang w:val="en-US"/>
        </w:rPr>
        <w:t xml:space="preserve"> if general requirements are met to Permanent resident status.</w:t>
      </w:r>
    </w:p>
    <w:p w14:paraId="71FC2F66"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Validity period: Indefinite permanent resident status if general requirements are met.</w:t>
      </w:r>
    </w:p>
    <w:p w14:paraId="72B358BC"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Extension and maintenance: No visa extension procedure.</w:t>
      </w:r>
    </w:p>
    <w:p w14:paraId="656007BA" w14:textId="120E5D82"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Sectoral orientation: IT. Contribution funds shall be directed specifically to the needs of digital infrastructure development in Uzbekistan, personnel training, startup acceleration, etc.  that is, the investor effectively devotes to the success of the ecosystem.</w:t>
      </w:r>
    </w:p>
    <w:p w14:paraId="301545E9"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Applicant categories and eligibility criteria: Meet immigration criteria and pass screening process. Proof of ability to dedicate a certain amount to the Enterprise Uzbekistan development fund or to Uzbekistan government-approved IT projects.</w:t>
      </w:r>
    </w:p>
    <w:p w14:paraId="3B27BF3B"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 xml:space="preserve">Financial eligibility thresholds: Proof of ability to invest in Uzbekistan’s IT sector. </w:t>
      </w:r>
    </w:p>
    <w:p w14:paraId="7EE00E20" w14:textId="77777777" w:rsidR="002551B2" w:rsidRPr="00B8354C" w:rsidRDefault="002551B2" w:rsidP="00B8354C">
      <w:pPr>
        <w:pStyle w:val="a7"/>
        <w:numPr>
          <w:ilvl w:val="0"/>
          <w:numId w:val="8"/>
        </w:numPr>
        <w:spacing w:line="276" w:lineRule="auto"/>
        <w:jc w:val="both"/>
        <w:rPr>
          <w:rFonts w:ascii="Cambria" w:hAnsi="Cambria"/>
          <w:sz w:val="26"/>
          <w:szCs w:val="26"/>
          <w:lang w:val="en-US"/>
        </w:rPr>
      </w:pPr>
      <w:r w:rsidRPr="00B8354C">
        <w:rPr>
          <w:rFonts w:ascii="Cambria" w:hAnsi="Cambria"/>
          <w:sz w:val="26"/>
          <w:szCs w:val="26"/>
          <w:lang w:val="en-US"/>
        </w:rPr>
        <w:t>Costs and mandatory contributions to the budget: For both individuals and corporate entities – standard nonrefundable visa processing fees.</w:t>
      </w:r>
    </w:p>
    <w:p w14:paraId="748ADDB4"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 xml:space="preserve">Corporate track: No specific requirements. </w:t>
      </w:r>
    </w:p>
    <w:p w14:paraId="0E683ACE"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Family members: Family members obtain residence permits upon application – with all social benefits intended for core applicant.</w:t>
      </w:r>
    </w:p>
    <w:p w14:paraId="4FA4A06A"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Right to work: Access to healthcare and education on resident terms.</w:t>
      </w:r>
    </w:p>
    <w:p w14:paraId="79AAE975"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Social benefits: Healthcare and education.</w:t>
      </w:r>
    </w:p>
    <w:p w14:paraId="2CCB1D60"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lastRenderedPageBreak/>
        <w:t>Property rights real estate: Applicable for Investment Visa.</w:t>
      </w:r>
    </w:p>
    <w:p w14:paraId="0732A6B3"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Tax implications: Applicable for Investment Visa.</w:t>
      </w:r>
    </w:p>
    <w:p w14:paraId="3D31C4B2"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Pathway to permanent residence and citizenship: Applicable for Investment Visa.</w:t>
      </w:r>
    </w:p>
    <w:p w14:paraId="3953A5D3" w14:textId="77777777" w:rsidR="002551B2" w:rsidRPr="00B8354C" w:rsidRDefault="002551B2" w:rsidP="00B8354C">
      <w:pPr>
        <w:pStyle w:val="a7"/>
        <w:numPr>
          <w:ilvl w:val="0"/>
          <w:numId w:val="8"/>
        </w:numPr>
        <w:spacing w:before="120" w:after="120" w:line="276" w:lineRule="auto"/>
        <w:jc w:val="both"/>
        <w:rPr>
          <w:rFonts w:ascii="Cambria" w:hAnsi="Cambria"/>
          <w:sz w:val="26"/>
          <w:szCs w:val="26"/>
          <w:lang w:val="en-US"/>
        </w:rPr>
      </w:pPr>
      <w:r w:rsidRPr="00B8354C">
        <w:rPr>
          <w:rFonts w:ascii="Cambria" w:hAnsi="Cambria"/>
          <w:sz w:val="26"/>
          <w:szCs w:val="26"/>
          <w:lang w:val="en-US"/>
        </w:rPr>
        <w:t>Applicant risks: Applicable for Investment Visa.</w:t>
      </w:r>
    </w:p>
    <w:p w14:paraId="590D5C3A" w14:textId="6682D2BC" w:rsidR="002551B2" w:rsidRPr="002551B2" w:rsidRDefault="002551B2" w:rsidP="00C9781A">
      <w:pPr>
        <w:spacing w:before="120" w:after="120" w:line="276" w:lineRule="auto"/>
        <w:ind w:firstLine="709"/>
        <w:jc w:val="both"/>
        <w:rPr>
          <w:rFonts w:ascii="Cambria" w:hAnsi="Cambria"/>
          <w:sz w:val="26"/>
          <w:szCs w:val="26"/>
          <w:lang w:val="en-US"/>
        </w:rPr>
      </w:pPr>
      <w:r w:rsidRPr="002551B2">
        <w:rPr>
          <w:rFonts w:ascii="Cambria" w:hAnsi="Cambria"/>
          <w:b/>
          <w:bCs/>
          <w:sz w:val="26"/>
          <w:szCs w:val="26"/>
          <w:lang w:val="en-US"/>
        </w:rPr>
        <w:t>Tax and visa incentives</w:t>
      </w:r>
      <w:r w:rsidRPr="002551B2">
        <w:rPr>
          <w:rFonts w:ascii="Cambria" w:hAnsi="Cambria"/>
          <w:sz w:val="26"/>
          <w:szCs w:val="26"/>
          <w:lang w:val="en-US"/>
        </w:rPr>
        <w:t xml:space="preserve"> for venture investors. Enterprise Uzbekistan is positioned as an innovation hub; therefore, it is important to attract venture capital. Foreign business angels and funds can be offered a special status, e.g., Startup Investor Visa, provided they invest a certain amount in local startups. Such an investor receives a multiple-entry visa for several years and tax benefits on income from these investments </w:t>
      </w:r>
      <w:r w:rsidRPr="00C9781A">
        <w:rPr>
          <w:rFonts w:ascii="Cambria" w:hAnsi="Cambria"/>
          <w:i/>
          <w:iCs/>
          <w:sz w:val="26"/>
          <w:szCs w:val="26"/>
          <w:lang w:val="en-US"/>
        </w:rPr>
        <w:t>(for example, exemption from capital gains tax when leaving a startup, reduced property transaction fees and taxes, tax reductions or exemptions on capital gains, dividends, or repatriation)</w:t>
      </w:r>
      <w:r w:rsidRPr="002551B2">
        <w:rPr>
          <w:rFonts w:ascii="Cambria" w:hAnsi="Cambria"/>
          <w:sz w:val="26"/>
          <w:szCs w:val="26"/>
          <w:lang w:val="en-US"/>
        </w:rPr>
        <w:t>. This will increase the attractiveness of Uzbekistan’s startup market in the eyes of foreign funds.</w:t>
      </w:r>
    </w:p>
    <w:p w14:paraId="7B0CEC16" w14:textId="4F704ED8" w:rsidR="002551B2" w:rsidRPr="00D309BD" w:rsidRDefault="002551B2" w:rsidP="00C9781A">
      <w:pPr>
        <w:spacing w:before="120" w:after="120" w:line="276" w:lineRule="auto"/>
        <w:ind w:firstLine="709"/>
        <w:jc w:val="both"/>
        <w:rPr>
          <w:rFonts w:ascii="Cambria" w:hAnsi="Cambria"/>
          <w:sz w:val="26"/>
          <w:szCs w:val="26"/>
          <w:lang w:val="en-US"/>
        </w:rPr>
        <w:sectPr w:rsidR="002551B2" w:rsidRPr="00D309BD" w:rsidSect="00D309BD">
          <w:pgSz w:w="11906" w:h="16838"/>
          <w:pgMar w:top="1138" w:right="850" w:bottom="1138" w:left="567" w:header="706" w:footer="706" w:gutter="0"/>
          <w:cols w:space="708"/>
          <w:docGrid w:linePitch="360"/>
        </w:sectPr>
      </w:pPr>
      <w:r w:rsidRPr="002551B2">
        <w:rPr>
          <w:rFonts w:ascii="Cambria" w:hAnsi="Cambria"/>
          <w:b/>
          <w:bCs/>
          <w:sz w:val="26"/>
          <w:szCs w:val="26"/>
          <w:lang w:val="en-US"/>
        </w:rPr>
        <w:t xml:space="preserve">Business and estate incentives, </w:t>
      </w:r>
      <w:r w:rsidRPr="002551B2">
        <w:rPr>
          <w:rFonts w:ascii="Cambria" w:hAnsi="Cambria"/>
          <w:sz w:val="26"/>
          <w:szCs w:val="26"/>
          <w:lang w:val="en-US"/>
        </w:rPr>
        <w:t>including the right to own 100</w:t>
      </w:r>
      <w:r w:rsidR="00C9781A" w:rsidRPr="00C9781A">
        <w:rPr>
          <w:rFonts w:ascii="Cambria" w:hAnsi="Cambria"/>
          <w:sz w:val="26"/>
          <w:szCs w:val="26"/>
          <w:lang w:val="en-US"/>
        </w:rPr>
        <w:t> </w:t>
      </w:r>
      <w:r w:rsidRPr="002551B2">
        <w:rPr>
          <w:rFonts w:ascii="Cambria" w:hAnsi="Cambria"/>
          <w:sz w:val="26"/>
          <w:szCs w:val="26"/>
          <w:lang w:val="en-US"/>
        </w:rPr>
        <w:t>% of a business without requiring a local partner, priority access to public investment programs, grants, or accelerators, access to exclusive investment zones, free-trade zones, or innovation hubs. Eligibility to purchase prime real estate, including restricted zones.</w:t>
      </w:r>
    </w:p>
    <w:p w14:paraId="780F06ED" w14:textId="5B376431" w:rsidR="00375215" w:rsidRPr="00795062" w:rsidRDefault="00795062" w:rsidP="00795062">
      <w:pPr>
        <w:jc w:val="center"/>
        <w:rPr>
          <w:rFonts w:ascii="Cambria" w:hAnsi="Cambria"/>
          <w:b/>
          <w:bCs/>
          <w:sz w:val="36"/>
          <w:szCs w:val="36"/>
          <w:lang w:val="en-US"/>
        </w:rPr>
      </w:pPr>
      <w:r w:rsidRPr="00795062">
        <w:rPr>
          <w:rFonts w:ascii="Cambria" w:hAnsi="Cambria"/>
          <w:b/>
          <w:bCs/>
          <w:sz w:val="36"/>
          <w:szCs w:val="36"/>
          <w:lang w:val="en-US"/>
        </w:rPr>
        <w:lastRenderedPageBreak/>
        <w:t>Comparative table</w:t>
      </w:r>
    </w:p>
    <w:tbl>
      <w:tblPr>
        <w:tblW w:w="14485" w:type="dxa"/>
        <w:tblLook w:val="04A0" w:firstRow="1" w:lastRow="0" w:firstColumn="1" w:lastColumn="0" w:noHBand="0" w:noVBand="1"/>
      </w:tblPr>
      <w:tblGrid>
        <w:gridCol w:w="1696"/>
        <w:gridCol w:w="2977"/>
        <w:gridCol w:w="3782"/>
        <w:gridCol w:w="3330"/>
        <w:gridCol w:w="2700"/>
      </w:tblGrid>
      <w:tr w:rsidR="00A45035" w:rsidRPr="00795062" w14:paraId="4C8E9648" w14:textId="77777777" w:rsidTr="00A45035">
        <w:trPr>
          <w:trHeight w:val="699"/>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49F42ADE"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p>
        </w:tc>
        <w:tc>
          <w:tcPr>
            <w:tcW w:w="2977" w:type="dxa"/>
            <w:vMerge w:val="restart"/>
            <w:tcBorders>
              <w:top w:val="single" w:sz="4" w:space="0" w:color="auto"/>
              <w:left w:val="single" w:sz="4" w:space="0" w:color="auto"/>
              <w:bottom w:val="single" w:sz="4" w:space="0" w:color="auto"/>
              <w:right w:val="single" w:sz="4" w:space="0" w:color="auto"/>
            </w:tcBorders>
            <w:vAlign w:val="center"/>
            <w:hideMark/>
          </w:tcPr>
          <w:p w14:paraId="371D6C67"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r w:rsidRPr="002551B2">
              <w:rPr>
                <w:rFonts w:ascii="Cambria" w:eastAsia="Times New Roman" w:hAnsi="Cambria" w:cs="Calibri"/>
                <w:b/>
                <w:bCs/>
                <w:color w:val="000000"/>
                <w:sz w:val="26"/>
                <w:szCs w:val="26"/>
                <w:lang w:val="en-US"/>
                <w14:ligatures w14:val="none"/>
              </w:rPr>
              <w:t>U.S. Trump Gold Card</w:t>
            </w:r>
          </w:p>
        </w:tc>
        <w:tc>
          <w:tcPr>
            <w:tcW w:w="9812" w:type="dxa"/>
            <w:gridSpan w:val="3"/>
            <w:tcBorders>
              <w:top w:val="single" w:sz="4" w:space="0" w:color="auto"/>
              <w:left w:val="nil"/>
              <w:bottom w:val="single" w:sz="4" w:space="0" w:color="auto"/>
              <w:right w:val="single" w:sz="4" w:space="0" w:color="auto"/>
            </w:tcBorders>
            <w:noWrap/>
            <w:vAlign w:val="bottom"/>
            <w:hideMark/>
          </w:tcPr>
          <w:p w14:paraId="7ED47884"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r w:rsidRPr="002551B2">
              <w:rPr>
                <w:rFonts w:ascii="Cambria" w:eastAsia="Times New Roman" w:hAnsi="Cambria" w:cs="Calibri"/>
                <w:b/>
                <w:bCs/>
                <w:color w:val="000000"/>
                <w:sz w:val="26"/>
                <w:szCs w:val="26"/>
                <w:lang w:val="en-US"/>
                <w14:ligatures w14:val="none"/>
              </w:rPr>
              <w:t>Current premium visa regimes in Uzbekistan </w:t>
            </w:r>
          </w:p>
        </w:tc>
      </w:tr>
      <w:tr w:rsidR="00A45035" w:rsidRPr="002551B2" w14:paraId="5862CD15" w14:textId="77777777" w:rsidTr="00A45035">
        <w:trPr>
          <w:trHeight w:val="576"/>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1528236C" w14:textId="77777777" w:rsidR="00A45035" w:rsidRPr="002551B2" w:rsidRDefault="00A45035" w:rsidP="008424E7">
            <w:pPr>
              <w:spacing w:after="0"/>
              <w:rPr>
                <w:rFonts w:ascii="Cambria" w:eastAsia="Times New Roman" w:hAnsi="Cambria" w:cs="Calibri"/>
                <w:b/>
                <w:bCs/>
                <w:color w:val="000000"/>
                <w:sz w:val="26"/>
                <w:szCs w:val="26"/>
                <w:lang w:val="en-US"/>
                <w14:ligatures w14:val="none"/>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3FE3A2DA" w14:textId="77777777" w:rsidR="00A45035" w:rsidRPr="002551B2" w:rsidRDefault="00A45035" w:rsidP="008424E7">
            <w:pPr>
              <w:spacing w:after="0"/>
              <w:rPr>
                <w:rFonts w:ascii="Cambria" w:eastAsia="Times New Roman" w:hAnsi="Cambria" w:cs="Calibri"/>
                <w:b/>
                <w:bCs/>
                <w:color w:val="000000"/>
                <w:sz w:val="26"/>
                <w:szCs w:val="26"/>
                <w:lang w:val="en-US"/>
                <w14:ligatures w14:val="none"/>
              </w:rPr>
            </w:pPr>
          </w:p>
        </w:tc>
        <w:tc>
          <w:tcPr>
            <w:tcW w:w="3782" w:type="dxa"/>
            <w:tcBorders>
              <w:top w:val="nil"/>
              <w:left w:val="nil"/>
              <w:bottom w:val="single" w:sz="4" w:space="0" w:color="auto"/>
              <w:right w:val="single" w:sz="4" w:space="0" w:color="auto"/>
            </w:tcBorders>
            <w:vAlign w:val="center"/>
            <w:hideMark/>
          </w:tcPr>
          <w:p w14:paraId="1AEB5D04"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r w:rsidRPr="002551B2">
              <w:rPr>
                <w:rFonts w:ascii="Cambria" w:eastAsia="Times New Roman" w:hAnsi="Cambria" w:cs="Calibri"/>
                <w:b/>
                <w:bCs/>
                <w:color w:val="000000"/>
                <w:sz w:val="26"/>
                <w:szCs w:val="26"/>
                <w:lang w:val="en-US"/>
                <w14:ligatures w14:val="none"/>
              </w:rPr>
              <w:t xml:space="preserve">Investment Visa and Investor Residence Permit </w:t>
            </w:r>
          </w:p>
        </w:tc>
        <w:tc>
          <w:tcPr>
            <w:tcW w:w="3330" w:type="dxa"/>
            <w:tcBorders>
              <w:top w:val="nil"/>
              <w:left w:val="nil"/>
              <w:bottom w:val="single" w:sz="4" w:space="0" w:color="auto"/>
              <w:right w:val="single" w:sz="4" w:space="0" w:color="auto"/>
            </w:tcBorders>
            <w:vAlign w:val="center"/>
            <w:hideMark/>
          </w:tcPr>
          <w:p w14:paraId="525C116F"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r w:rsidRPr="002551B2">
              <w:rPr>
                <w:rFonts w:ascii="Cambria" w:eastAsia="Times New Roman" w:hAnsi="Cambria" w:cs="Calibri"/>
                <w:b/>
                <w:bCs/>
                <w:color w:val="000000"/>
                <w:sz w:val="26"/>
                <w:szCs w:val="26"/>
                <w:lang w:val="en-US"/>
                <w14:ligatures w14:val="none"/>
              </w:rPr>
              <w:t xml:space="preserve">IT Visa </w:t>
            </w:r>
          </w:p>
        </w:tc>
        <w:tc>
          <w:tcPr>
            <w:tcW w:w="2700" w:type="dxa"/>
            <w:tcBorders>
              <w:top w:val="nil"/>
              <w:left w:val="nil"/>
              <w:bottom w:val="single" w:sz="4" w:space="0" w:color="auto"/>
              <w:right w:val="single" w:sz="4" w:space="0" w:color="auto"/>
            </w:tcBorders>
            <w:vAlign w:val="center"/>
            <w:hideMark/>
          </w:tcPr>
          <w:p w14:paraId="3115A4E5" w14:textId="77777777" w:rsidR="00A45035" w:rsidRPr="002551B2" w:rsidRDefault="00A45035" w:rsidP="008424E7">
            <w:pPr>
              <w:spacing w:after="0"/>
              <w:jc w:val="center"/>
              <w:rPr>
                <w:rFonts w:ascii="Cambria" w:eastAsia="Times New Roman" w:hAnsi="Cambria" w:cs="Calibri"/>
                <w:b/>
                <w:bCs/>
                <w:color w:val="000000"/>
                <w:sz w:val="26"/>
                <w:szCs w:val="26"/>
                <w:lang w:val="en-US"/>
                <w14:ligatures w14:val="none"/>
              </w:rPr>
            </w:pPr>
            <w:r w:rsidRPr="002551B2">
              <w:rPr>
                <w:rFonts w:ascii="Cambria" w:eastAsia="Times New Roman" w:hAnsi="Cambria" w:cs="Calibri"/>
                <w:b/>
                <w:bCs/>
                <w:color w:val="000000"/>
                <w:sz w:val="26"/>
                <w:szCs w:val="26"/>
                <w:lang w:val="en-US"/>
                <w14:ligatures w14:val="none"/>
              </w:rPr>
              <w:t xml:space="preserve">Golden Visa </w:t>
            </w:r>
          </w:p>
        </w:tc>
      </w:tr>
      <w:tr w:rsidR="00A45035" w:rsidRPr="00795062" w14:paraId="04805717" w14:textId="77777777" w:rsidTr="00A45035">
        <w:trPr>
          <w:trHeight w:val="1728"/>
        </w:trPr>
        <w:tc>
          <w:tcPr>
            <w:tcW w:w="1696" w:type="dxa"/>
            <w:tcBorders>
              <w:top w:val="nil"/>
              <w:left w:val="single" w:sz="4" w:space="0" w:color="auto"/>
              <w:bottom w:val="single" w:sz="4" w:space="0" w:color="auto"/>
              <w:right w:val="single" w:sz="4" w:space="0" w:color="auto"/>
            </w:tcBorders>
            <w:vAlign w:val="center"/>
            <w:hideMark/>
          </w:tcPr>
          <w:p w14:paraId="61627DDC"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Legal nature of the mechanism</w:t>
            </w:r>
          </w:p>
        </w:tc>
        <w:tc>
          <w:tcPr>
            <w:tcW w:w="2977" w:type="dxa"/>
            <w:tcBorders>
              <w:top w:val="nil"/>
              <w:left w:val="nil"/>
              <w:bottom w:val="single" w:sz="4" w:space="0" w:color="auto"/>
              <w:right w:val="single" w:sz="4" w:space="0" w:color="auto"/>
            </w:tcBorders>
            <w:vAlign w:val="center"/>
            <w:hideMark/>
          </w:tcPr>
          <w:p w14:paraId="1A835BF5"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An immigration mechanism that accelerates access to permanent resident status based on executive decision of U.S. federal authorities</w:t>
            </w:r>
          </w:p>
        </w:tc>
        <w:tc>
          <w:tcPr>
            <w:tcW w:w="3782" w:type="dxa"/>
            <w:tcBorders>
              <w:top w:val="nil"/>
              <w:left w:val="nil"/>
              <w:bottom w:val="single" w:sz="4" w:space="0" w:color="auto"/>
              <w:right w:val="single" w:sz="4" w:space="0" w:color="auto"/>
            </w:tcBorders>
            <w:vAlign w:val="center"/>
            <w:hideMark/>
          </w:tcPr>
          <w:p w14:paraId="3C6B833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Investment migration mechanism granting entry stay and residence to foreign investors and their family members based on real participation in investment and entrepreneurial activity</w:t>
            </w:r>
          </w:p>
        </w:tc>
        <w:tc>
          <w:tcPr>
            <w:tcW w:w="3330" w:type="dxa"/>
            <w:tcBorders>
              <w:top w:val="nil"/>
              <w:left w:val="nil"/>
              <w:bottom w:val="single" w:sz="4" w:space="0" w:color="auto"/>
              <w:right w:val="single" w:sz="4" w:space="0" w:color="auto"/>
            </w:tcBorders>
            <w:vAlign w:val="center"/>
            <w:hideMark/>
          </w:tcPr>
          <w:p w14:paraId="0395E48C"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 special preferential visa regime deriving from national policy to advance the IT sector and the IT Park Uzbekistan ecosystem</w:t>
            </w:r>
          </w:p>
        </w:tc>
        <w:tc>
          <w:tcPr>
            <w:tcW w:w="2700" w:type="dxa"/>
            <w:tcBorders>
              <w:top w:val="nil"/>
              <w:left w:val="nil"/>
              <w:bottom w:val="single" w:sz="4" w:space="0" w:color="auto"/>
              <w:right w:val="single" w:sz="4" w:space="0" w:color="auto"/>
            </w:tcBorders>
            <w:vAlign w:val="center"/>
            <w:hideMark/>
          </w:tcPr>
          <w:p w14:paraId="286D833C"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An investment migration mechanism enabling accelerated issuance of a five-year residence permit based on a fixed investment payment</w:t>
            </w:r>
          </w:p>
        </w:tc>
      </w:tr>
      <w:tr w:rsidR="00A45035" w:rsidRPr="00795062" w14:paraId="17C06E0F" w14:textId="77777777" w:rsidTr="00795062">
        <w:trPr>
          <w:trHeight w:val="2592"/>
        </w:trPr>
        <w:tc>
          <w:tcPr>
            <w:tcW w:w="1696" w:type="dxa"/>
            <w:tcBorders>
              <w:top w:val="nil"/>
              <w:left w:val="single" w:sz="4" w:space="0" w:color="auto"/>
              <w:bottom w:val="single" w:sz="4" w:space="0" w:color="auto"/>
              <w:right w:val="single" w:sz="4" w:space="0" w:color="auto"/>
            </w:tcBorders>
            <w:vAlign w:val="center"/>
            <w:hideMark/>
          </w:tcPr>
          <w:p w14:paraId="4A99B9B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Key normative acts and launch dates</w:t>
            </w:r>
          </w:p>
        </w:tc>
        <w:tc>
          <w:tcPr>
            <w:tcW w:w="2977" w:type="dxa"/>
            <w:tcBorders>
              <w:top w:val="nil"/>
              <w:left w:val="nil"/>
              <w:bottom w:val="single" w:sz="4" w:space="0" w:color="auto"/>
              <w:right w:val="single" w:sz="4" w:space="0" w:color="auto"/>
            </w:tcBorders>
            <w:vAlign w:val="center"/>
            <w:hideMark/>
          </w:tcPr>
          <w:p w14:paraId="06766957"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Presidential Executive Order 14351 of 19 September 2025 set program parameters and instructed executive departments to implement the accelerated status mechanism.</w:t>
            </w:r>
            <w:r w:rsidRPr="00795062">
              <w:rPr>
                <w:rFonts w:ascii="Cambria" w:eastAsia="Times New Roman" w:hAnsi="Cambria" w:cs="Calibri"/>
                <w:color w:val="000000"/>
                <w:sz w:val="22"/>
                <w:szCs w:val="22"/>
                <w:lang w:val="en-US"/>
                <w14:ligatures w14:val="none"/>
              </w:rPr>
              <w:br/>
              <w:t>Application intake effectively opened on 10 December 2025</w:t>
            </w:r>
          </w:p>
        </w:tc>
        <w:tc>
          <w:tcPr>
            <w:tcW w:w="3782" w:type="dxa"/>
            <w:tcBorders>
              <w:top w:val="nil"/>
              <w:left w:val="nil"/>
              <w:bottom w:val="single" w:sz="4" w:space="0" w:color="auto"/>
              <w:right w:val="single" w:sz="4" w:space="0" w:color="auto"/>
            </w:tcBorders>
            <w:vAlign w:val="center"/>
            <w:hideMark/>
          </w:tcPr>
          <w:p w14:paraId="07B3E981"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Cabinet of Ministers Resolution 864 of 11 October 2019 set amendments and addenda to certain normative acts due to the introduction of investment visas for foreign investors, as well as the creation of additional favorable conditions for them and their family members to stay in the territory of Uzbekistan</w:t>
            </w:r>
            <w:r w:rsidRPr="00795062">
              <w:rPr>
                <w:rFonts w:ascii="Cambria" w:eastAsia="Times New Roman" w:hAnsi="Cambria" w:cs="Calibri"/>
                <w:color w:val="000000"/>
                <w:sz w:val="22"/>
                <w:szCs w:val="22"/>
                <w:lang w:val="en-US"/>
                <w14:ligatures w14:val="none"/>
              </w:rPr>
              <w:br/>
            </w:r>
          </w:p>
        </w:tc>
        <w:tc>
          <w:tcPr>
            <w:tcW w:w="3330" w:type="dxa"/>
            <w:tcBorders>
              <w:top w:val="nil"/>
              <w:left w:val="nil"/>
              <w:bottom w:val="single" w:sz="4" w:space="0" w:color="auto"/>
              <w:right w:val="single" w:sz="4" w:space="0" w:color="auto"/>
            </w:tcBorders>
            <w:vAlign w:val="center"/>
            <w:hideMark/>
          </w:tcPr>
          <w:p w14:paraId="1C11A480"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Cabinet of Ministers Resolution 191 of 15 April 2022 introduced amendments to existing visa rules creating a legal basis for IT-Visa. </w:t>
            </w:r>
          </w:p>
          <w:p w14:paraId="6BE0838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Ministry of Digital Technologies Order 3387 of 16 September 2022 approved procedural rules for review extension and cancellation of IT-Visa recommendations</w:t>
            </w:r>
          </w:p>
        </w:tc>
        <w:tc>
          <w:tcPr>
            <w:tcW w:w="2700" w:type="dxa"/>
            <w:tcBorders>
              <w:top w:val="nil"/>
              <w:left w:val="nil"/>
              <w:bottom w:val="single" w:sz="4" w:space="0" w:color="auto"/>
              <w:right w:val="single" w:sz="4" w:space="0" w:color="auto"/>
            </w:tcBorders>
            <w:vAlign w:val="center"/>
            <w:hideMark/>
          </w:tcPr>
          <w:p w14:paraId="427DD8B5" w14:textId="77777777" w:rsidR="00C9781A"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Presidential Decree PF 67 of 18 April 2025 </w:t>
            </w:r>
          </w:p>
          <w:p w14:paraId="1F231216" w14:textId="775CE9AF"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Official program launched 1 June 2025</w:t>
            </w:r>
          </w:p>
        </w:tc>
      </w:tr>
      <w:tr w:rsidR="00A45035" w:rsidRPr="00795062" w14:paraId="4117207D" w14:textId="77777777" w:rsidTr="00795062">
        <w:trPr>
          <w:trHeight w:val="613"/>
        </w:trPr>
        <w:tc>
          <w:tcPr>
            <w:tcW w:w="1696" w:type="dxa"/>
            <w:tcBorders>
              <w:top w:val="single" w:sz="4" w:space="0" w:color="auto"/>
              <w:left w:val="single" w:sz="4" w:space="0" w:color="auto"/>
              <w:bottom w:val="single" w:sz="4" w:space="0" w:color="auto"/>
              <w:right w:val="single" w:sz="4" w:space="0" w:color="auto"/>
            </w:tcBorders>
            <w:vAlign w:val="center"/>
            <w:hideMark/>
          </w:tcPr>
          <w:p w14:paraId="4C4AE57A"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t xml:space="preserve">Program </w:t>
            </w:r>
            <w:proofErr w:type="spellStart"/>
            <w:r w:rsidRPr="00795062">
              <w:rPr>
                <w:rFonts w:ascii="Cambria" w:eastAsia="Times New Roman" w:hAnsi="Cambria" w:cs="Calibri"/>
                <w:color w:val="000000"/>
                <w:sz w:val="22"/>
                <w:szCs w:val="22"/>
                <w14:ligatures w14:val="none"/>
              </w:rPr>
              <w:t>objectives</w:t>
            </w:r>
            <w:proofErr w:type="spellEnd"/>
          </w:p>
        </w:tc>
        <w:tc>
          <w:tcPr>
            <w:tcW w:w="2977" w:type="dxa"/>
            <w:tcBorders>
              <w:top w:val="single" w:sz="4" w:space="0" w:color="auto"/>
              <w:left w:val="single" w:sz="4" w:space="0" w:color="auto"/>
              <w:bottom w:val="single" w:sz="4" w:space="0" w:color="auto"/>
              <w:right w:val="single" w:sz="4" w:space="0" w:color="auto"/>
            </w:tcBorders>
            <w:vAlign w:val="center"/>
            <w:hideMark/>
          </w:tcPr>
          <w:p w14:paraId="705263B7"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Attract big capital and highly qualified individuals while creating direct fiscal effect for U.S. budget and bolstering U.S. competitiveness in investment migration</w:t>
            </w:r>
          </w:p>
        </w:tc>
        <w:tc>
          <w:tcPr>
            <w:tcW w:w="3782" w:type="dxa"/>
            <w:tcBorders>
              <w:top w:val="single" w:sz="4" w:space="0" w:color="auto"/>
              <w:left w:val="single" w:sz="4" w:space="0" w:color="auto"/>
              <w:bottom w:val="single" w:sz="4" w:space="0" w:color="auto"/>
              <w:right w:val="single" w:sz="4" w:space="0" w:color="auto"/>
            </w:tcBorders>
            <w:vAlign w:val="center"/>
            <w:hideMark/>
          </w:tcPr>
          <w:p w14:paraId="23C860F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Attract foreign direct investment, create enterprises with foreign participation, employment in entrepreneurship and the real economy</w:t>
            </w:r>
          </w:p>
        </w:tc>
        <w:tc>
          <w:tcPr>
            <w:tcW w:w="3330" w:type="dxa"/>
            <w:tcBorders>
              <w:top w:val="single" w:sz="4" w:space="0" w:color="auto"/>
              <w:left w:val="single" w:sz="4" w:space="0" w:color="auto"/>
              <w:bottom w:val="single" w:sz="4" w:space="0" w:color="auto"/>
              <w:right w:val="single" w:sz="4" w:space="0" w:color="auto"/>
            </w:tcBorders>
            <w:vAlign w:val="center"/>
            <w:hideMark/>
          </w:tcPr>
          <w:p w14:paraId="593D86F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Attract IT specialists, investors, and founders of IT companies to accelerate growth of export-oriented IT, boost competencies and expand the tech ecosystem</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870001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Attract direct capital through a simple predictable residence permit mechanism and bolster Uzbekistan competitiveness in investment migration</w:t>
            </w:r>
          </w:p>
        </w:tc>
      </w:tr>
      <w:tr w:rsidR="00A45035" w:rsidRPr="00795062" w14:paraId="2655323B" w14:textId="77777777" w:rsidTr="00795062">
        <w:trPr>
          <w:trHeight w:val="622"/>
        </w:trPr>
        <w:tc>
          <w:tcPr>
            <w:tcW w:w="1696" w:type="dxa"/>
            <w:tcBorders>
              <w:top w:val="single" w:sz="4" w:space="0" w:color="auto"/>
              <w:left w:val="single" w:sz="4" w:space="0" w:color="auto"/>
              <w:bottom w:val="single" w:sz="4" w:space="0" w:color="auto"/>
              <w:right w:val="single" w:sz="4" w:space="0" w:color="auto"/>
            </w:tcBorders>
            <w:vAlign w:val="center"/>
            <w:hideMark/>
          </w:tcPr>
          <w:p w14:paraId="2F4630C1" w14:textId="5AA31FC6"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lastRenderedPageBreak/>
              <w:t>Type of</w:t>
            </w:r>
            <w:r w:rsidR="00CA109F" w:rsidRPr="00795062">
              <w:rPr>
                <w:rFonts w:ascii="Cambria" w:hAnsi="Cambria"/>
                <w:sz w:val="22"/>
                <w:szCs w:val="22"/>
                <w:lang w:val="en-US"/>
              </w:rPr>
              <w:t xml:space="preserve"> resident</w:t>
            </w:r>
            <w:r w:rsidRPr="00795062">
              <w:rPr>
                <w:rFonts w:ascii="Cambria" w:eastAsia="Times New Roman" w:hAnsi="Cambria" w:cs="Calibri"/>
                <w:color w:val="000000"/>
                <w:sz w:val="22"/>
                <w:szCs w:val="22"/>
                <w:lang w:val="en-US"/>
                <w14:ligatures w14:val="none"/>
              </w:rPr>
              <w:t xml:space="preserve"> status granted</w:t>
            </w:r>
          </w:p>
        </w:tc>
        <w:tc>
          <w:tcPr>
            <w:tcW w:w="2977" w:type="dxa"/>
            <w:tcBorders>
              <w:top w:val="single" w:sz="4" w:space="0" w:color="auto"/>
              <w:left w:val="nil"/>
              <w:bottom w:val="single" w:sz="4" w:space="0" w:color="auto"/>
              <w:right w:val="single" w:sz="4" w:space="0" w:color="auto"/>
            </w:tcBorders>
            <w:vAlign w:val="center"/>
            <w:hideMark/>
          </w:tcPr>
          <w:p w14:paraId="32C931A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Successful applicant receives lawful permanent resident status as an EB-1 or EB-2 visa holder functionally equivalent to a Green Card</w:t>
            </w:r>
          </w:p>
        </w:tc>
        <w:tc>
          <w:tcPr>
            <w:tcW w:w="3782" w:type="dxa"/>
            <w:tcBorders>
              <w:top w:val="single" w:sz="4" w:space="0" w:color="auto"/>
              <w:left w:val="nil"/>
              <w:bottom w:val="single" w:sz="4" w:space="0" w:color="auto"/>
              <w:right w:val="single" w:sz="4" w:space="0" w:color="auto"/>
            </w:tcBorders>
            <w:vAlign w:val="center"/>
            <w:hideMark/>
          </w:tcPr>
          <w:p w14:paraId="6B83CAA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Investment visa for temporary stay, </w:t>
            </w:r>
            <w:r w:rsidRPr="00795062">
              <w:rPr>
                <w:rFonts w:ascii="Cambria" w:eastAsia="Times New Roman" w:hAnsi="Cambria" w:cs="Calibri"/>
                <w:color w:val="000000"/>
                <w:sz w:val="22"/>
                <w:szCs w:val="22"/>
                <w:lang w:val="en-US"/>
                <w14:ligatures w14:val="none"/>
              </w:rPr>
              <w:br/>
              <w:t>Investor residence permit</w:t>
            </w:r>
          </w:p>
        </w:tc>
        <w:tc>
          <w:tcPr>
            <w:tcW w:w="3330" w:type="dxa"/>
            <w:tcBorders>
              <w:top w:val="single" w:sz="4" w:space="0" w:color="auto"/>
              <w:left w:val="nil"/>
              <w:bottom w:val="single" w:sz="4" w:space="0" w:color="auto"/>
              <w:right w:val="single" w:sz="4" w:space="0" w:color="auto"/>
            </w:tcBorders>
            <w:vAlign w:val="center"/>
            <w:hideMark/>
          </w:tcPr>
          <w:p w14:paraId="3A0379A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Long term temporary status IT-Visa for visa required countries and IT-Card for visa free countries</w:t>
            </w:r>
          </w:p>
        </w:tc>
        <w:tc>
          <w:tcPr>
            <w:tcW w:w="2700" w:type="dxa"/>
            <w:tcBorders>
              <w:top w:val="single" w:sz="4" w:space="0" w:color="auto"/>
              <w:left w:val="nil"/>
              <w:bottom w:val="single" w:sz="4" w:space="0" w:color="auto"/>
              <w:right w:val="single" w:sz="4" w:space="0" w:color="auto"/>
            </w:tcBorders>
            <w:vAlign w:val="center"/>
            <w:hideMark/>
          </w:tcPr>
          <w:p w14:paraId="32600DC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Residence permit of the Republic of Uzbekistan</w:t>
            </w:r>
          </w:p>
        </w:tc>
      </w:tr>
      <w:tr w:rsidR="00A45035" w:rsidRPr="00795062" w14:paraId="2E798312" w14:textId="77777777" w:rsidTr="00A45035">
        <w:trPr>
          <w:trHeight w:val="1440"/>
        </w:trPr>
        <w:tc>
          <w:tcPr>
            <w:tcW w:w="1696" w:type="dxa"/>
            <w:tcBorders>
              <w:top w:val="nil"/>
              <w:left w:val="single" w:sz="4" w:space="0" w:color="auto"/>
              <w:bottom w:val="single" w:sz="4" w:space="0" w:color="auto"/>
              <w:right w:val="single" w:sz="4" w:space="0" w:color="auto"/>
            </w:tcBorders>
            <w:vAlign w:val="center"/>
            <w:hideMark/>
          </w:tcPr>
          <w:p w14:paraId="2D74C445"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Validity</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period</w:t>
            </w:r>
            <w:proofErr w:type="spellEnd"/>
          </w:p>
        </w:tc>
        <w:tc>
          <w:tcPr>
            <w:tcW w:w="2977" w:type="dxa"/>
            <w:tcBorders>
              <w:top w:val="nil"/>
              <w:left w:val="nil"/>
              <w:bottom w:val="single" w:sz="4" w:space="0" w:color="auto"/>
              <w:right w:val="single" w:sz="4" w:space="0" w:color="auto"/>
            </w:tcBorders>
            <w:vAlign w:val="center"/>
            <w:hideMark/>
          </w:tcPr>
          <w:p w14:paraId="739A65C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Permanent resident status is indefinite if general requirements are met </w:t>
            </w:r>
          </w:p>
        </w:tc>
        <w:tc>
          <w:tcPr>
            <w:tcW w:w="3782" w:type="dxa"/>
            <w:tcBorders>
              <w:top w:val="nil"/>
              <w:left w:val="nil"/>
              <w:bottom w:val="single" w:sz="4" w:space="0" w:color="auto"/>
              <w:right w:val="single" w:sz="4" w:space="0" w:color="auto"/>
            </w:tcBorders>
            <w:vAlign w:val="center"/>
            <w:hideMark/>
          </w:tcPr>
          <w:p w14:paraId="05406868"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Investment visa up to 3 years,</w:t>
            </w:r>
            <w:r w:rsidRPr="00795062">
              <w:rPr>
                <w:rFonts w:ascii="Cambria" w:eastAsia="Times New Roman" w:hAnsi="Cambria" w:cs="Calibri"/>
                <w:color w:val="000000"/>
                <w:sz w:val="22"/>
                <w:szCs w:val="22"/>
                <w:lang w:val="en-US"/>
                <w14:ligatures w14:val="none"/>
              </w:rPr>
              <w:br/>
              <w:t>Residence permits up to 5 years</w:t>
            </w:r>
          </w:p>
        </w:tc>
        <w:tc>
          <w:tcPr>
            <w:tcW w:w="3330" w:type="dxa"/>
            <w:tcBorders>
              <w:top w:val="nil"/>
              <w:left w:val="nil"/>
              <w:bottom w:val="single" w:sz="4" w:space="0" w:color="auto"/>
              <w:right w:val="single" w:sz="4" w:space="0" w:color="auto"/>
            </w:tcBorders>
            <w:vAlign w:val="center"/>
            <w:hideMark/>
          </w:tcPr>
          <w:p w14:paraId="12F205DF"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t xml:space="preserve">Up </w:t>
            </w:r>
            <w:proofErr w:type="spellStart"/>
            <w:r w:rsidRPr="00795062">
              <w:rPr>
                <w:rFonts w:ascii="Cambria" w:eastAsia="Times New Roman" w:hAnsi="Cambria" w:cs="Calibri"/>
                <w:color w:val="000000"/>
                <w:sz w:val="22"/>
                <w:szCs w:val="22"/>
                <w14:ligatures w14:val="none"/>
              </w:rPr>
              <w:t>to</w:t>
            </w:r>
            <w:proofErr w:type="spellEnd"/>
            <w:r w:rsidRPr="00795062">
              <w:rPr>
                <w:rFonts w:ascii="Cambria" w:eastAsia="Times New Roman" w:hAnsi="Cambria" w:cs="Calibri"/>
                <w:color w:val="000000"/>
                <w:sz w:val="22"/>
                <w:szCs w:val="22"/>
                <w14:ligatures w14:val="none"/>
              </w:rPr>
              <w:t xml:space="preserve"> </w:t>
            </w:r>
            <w:r w:rsidRPr="00795062">
              <w:rPr>
                <w:rFonts w:ascii="Cambria" w:eastAsia="Times New Roman" w:hAnsi="Cambria" w:cs="Calibri"/>
                <w:color w:val="000000"/>
                <w:sz w:val="22"/>
                <w:szCs w:val="22"/>
                <w:lang w:val="en-US"/>
                <w14:ligatures w14:val="none"/>
              </w:rPr>
              <w:t>3</w:t>
            </w:r>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years</w:t>
            </w:r>
            <w:proofErr w:type="spellEnd"/>
          </w:p>
        </w:tc>
        <w:tc>
          <w:tcPr>
            <w:tcW w:w="2700" w:type="dxa"/>
            <w:tcBorders>
              <w:top w:val="nil"/>
              <w:left w:val="nil"/>
              <w:bottom w:val="single" w:sz="4" w:space="0" w:color="auto"/>
              <w:right w:val="single" w:sz="4" w:space="0" w:color="auto"/>
            </w:tcBorders>
            <w:vAlign w:val="center"/>
            <w:hideMark/>
          </w:tcPr>
          <w:p w14:paraId="69D7F64E"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Five years with the right of renewal</w:t>
            </w:r>
          </w:p>
        </w:tc>
      </w:tr>
      <w:tr w:rsidR="00A45035" w:rsidRPr="00795062" w14:paraId="0F012BFA" w14:textId="77777777" w:rsidTr="00A45035">
        <w:trPr>
          <w:trHeight w:val="1440"/>
        </w:trPr>
        <w:tc>
          <w:tcPr>
            <w:tcW w:w="1696" w:type="dxa"/>
            <w:tcBorders>
              <w:top w:val="nil"/>
              <w:left w:val="single" w:sz="4" w:space="0" w:color="auto"/>
              <w:bottom w:val="single" w:sz="4" w:space="0" w:color="auto"/>
              <w:right w:val="single" w:sz="4" w:space="0" w:color="auto"/>
            </w:tcBorders>
            <w:vAlign w:val="center"/>
            <w:hideMark/>
          </w:tcPr>
          <w:p w14:paraId="06A6137F"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Extension</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and</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maintenance</w:t>
            </w:r>
            <w:proofErr w:type="spellEnd"/>
          </w:p>
        </w:tc>
        <w:tc>
          <w:tcPr>
            <w:tcW w:w="2977" w:type="dxa"/>
            <w:tcBorders>
              <w:top w:val="nil"/>
              <w:left w:val="nil"/>
              <w:bottom w:val="single" w:sz="4" w:space="0" w:color="auto"/>
              <w:right w:val="single" w:sz="4" w:space="0" w:color="auto"/>
            </w:tcBorders>
            <w:vAlign w:val="center"/>
            <w:hideMark/>
          </w:tcPr>
          <w:p w14:paraId="2C46AD54"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visa extension procedure. Status is maintained by meeting general permanent residency requirements</w:t>
            </w:r>
          </w:p>
        </w:tc>
        <w:tc>
          <w:tcPr>
            <w:tcW w:w="3782" w:type="dxa"/>
            <w:tcBorders>
              <w:top w:val="nil"/>
              <w:left w:val="nil"/>
              <w:bottom w:val="single" w:sz="4" w:space="0" w:color="auto"/>
              <w:right w:val="single" w:sz="4" w:space="0" w:color="auto"/>
            </w:tcBorders>
            <w:vAlign w:val="center"/>
            <w:hideMark/>
          </w:tcPr>
          <w:p w14:paraId="2E744037"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Extension granted under a simplified administrative procedure if investment activity and investor status are confirmed as continuous  </w:t>
            </w:r>
          </w:p>
        </w:tc>
        <w:tc>
          <w:tcPr>
            <w:tcW w:w="3330" w:type="dxa"/>
            <w:tcBorders>
              <w:top w:val="nil"/>
              <w:left w:val="nil"/>
              <w:bottom w:val="single" w:sz="4" w:space="0" w:color="auto"/>
              <w:right w:val="single" w:sz="4" w:space="0" w:color="auto"/>
            </w:tcBorders>
            <w:vAlign w:val="center"/>
            <w:hideMark/>
          </w:tcPr>
          <w:p w14:paraId="3CD0498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Renewable multiple times under a procedure comparable to initial issuance provided eligibility grounds are intact and recommendation remains valid</w:t>
            </w:r>
          </w:p>
        </w:tc>
        <w:tc>
          <w:tcPr>
            <w:tcW w:w="2700" w:type="dxa"/>
            <w:tcBorders>
              <w:top w:val="nil"/>
              <w:left w:val="nil"/>
              <w:bottom w:val="single" w:sz="4" w:space="0" w:color="auto"/>
              <w:right w:val="single" w:sz="4" w:space="0" w:color="auto"/>
            </w:tcBorders>
            <w:vAlign w:val="center"/>
            <w:hideMark/>
          </w:tcPr>
          <w:p w14:paraId="1DA0DDA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Renewal under general residence permit rules if no violations recorded and verifiable lawful grounds for residence </w:t>
            </w:r>
          </w:p>
        </w:tc>
      </w:tr>
      <w:tr w:rsidR="00A45035" w:rsidRPr="00795062" w14:paraId="14D43DCD" w14:textId="77777777" w:rsidTr="00A45035">
        <w:trPr>
          <w:trHeight w:val="864"/>
        </w:trPr>
        <w:tc>
          <w:tcPr>
            <w:tcW w:w="1696" w:type="dxa"/>
            <w:tcBorders>
              <w:top w:val="nil"/>
              <w:left w:val="single" w:sz="4" w:space="0" w:color="auto"/>
              <w:bottom w:val="single" w:sz="4" w:space="0" w:color="auto"/>
              <w:right w:val="single" w:sz="4" w:space="0" w:color="auto"/>
            </w:tcBorders>
            <w:vAlign w:val="center"/>
            <w:hideMark/>
          </w:tcPr>
          <w:p w14:paraId="3B00CFAA"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Sectoral</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orientation</w:t>
            </w:r>
            <w:proofErr w:type="spellEnd"/>
          </w:p>
        </w:tc>
        <w:tc>
          <w:tcPr>
            <w:tcW w:w="2977" w:type="dxa"/>
            <w:tcBorders>
              <w:top w:val="nil"/>
              <w:left w:val="nil"/>
              <w:bottom w:val="single" w:sz="4" w:space="0" w:color="auto"/>
              <w:right w:val="single" w:sz="4" w:space="0" w:color="auto"/>
            </w:tcBorders>
            <w:vAlign w:val="center"/>
            <w:hideMark/>
          </w:tcPr>
          <w:p w14:paraId="292B8F4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restrictions on sectoral affiliation</w:t>
            </w:r>
          </w:p>
        </w:tc>
        <w:tc>
          <w:tcPr>
            <w:tcW w:w="3782" w:type="dxa"/>
            <w:tcBorders>
              <w:top w:val="nil"/>
              <w:left w:val="nil"/>
              <w:bottom w:val="single" w:sz="4" w:space="0" w:color="auto"/>
              <w:right w:val="single" w:sz="4" w:space="0" w:color="auto"/>
            </w:tcBorders>
            <w:vAlign w:val="center"/>
            <w:hideMark/>
          </w:tcPr>
          <w:p w14:paraId="0724DE4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restrictions: applies to all sectors of the economy</w:t>
            </w:r>
          </w:p>
        </w:tc>
        <w:tc>
          <w:tcPr>
            <w:tcW w:w="3330" w:type="dxa"/>
            <w:tcBorders>
              <w:top w:val="nil"/>
              <w:left w:val="nil"/>
              <w:bottom w:val="single" w:sz="4" w:space="0" w:color="auto"/>
              <w:right w:val="single" w:sz="4" w:space="0" w:color="auto"/>
            </w:tcBorders>
            <w:vAlign w:val="center"/>
            <w:hideMark/>
          </w:tcPr>
          <w:p w14:paraId="2C6F2B5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Strictly IT and related digital fields within the IT Park Uzbekistan institutional framework</w:t>
            </w:r>
          </w:p>
        </w:tc>
        <w:tc>
          <w:tcPr>
            <w:tcW w:w="2700" w:type="dxa"/>
            <w:tcBorders>
              <w:top w:val="nil"/>
              <w:left w:val="nil"/>
              <w:bottom w:val="single" w:sz="4" w:space="0" w:color="auto"/>
              <w:right w:val="single" w:sz="4" w:space="0" w:color="auto"/>
            </w:tcBorders>
            <w:vAlign w:val="center"/>
            <w:hideMark/>
          </w:tcPr>
          <w:p w14:paraId="3FDDBC1C"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sector orientation, universal for any business sector and capital type</w:t>
            </w:r>
          </w:p>
        </w:tc>
      </w:tr>
      <w:tr w:rsidR="00A45035" w:rsidRPr="00795062" w14:paraId="691C89B4" w14:textId="77777777" w:rsidTr="00795062">
        <w:trPr>
          <w:trHeight w:val="883"/>
        </w:trPr>
        <w:tc>
          <w:tcPr>
            <w:tcW w:w="1696" w:type="dxa"/>
            <w:tcBorders>
              <w:top w:val="nil"/>
              <w:left w:val="single" w:sz="4" w:space="0" w:color="auto"/>
              <w:bottom w:val="single" w:sz="4" w:space="0" w:color="auto"/>
              <w:right w:val="single" w:sz="4" w:space="0" w:color="auto"/>
            </w:tcBorders>
            <w:vAlign w:val="center"/>
            <w:hideMark/>
          </w:tcPr>
          <w:p w14:paraId="2D538F1B"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Applicant categories and eligibility criteria</w:t>
            </w:r>
          </w:p>
        </w:tc>
        <w:tc>
          <w:tcPr>
            <w:tcW w:w="2977" w:type="dxa"/>
            <w:tcBorders>
              <w:top w:val="nil"/>
              <w:left w:val="nil"/>
              <w:bottom w:val="single" w:sz="4" w:space="0" w:color="auto"/>
              <w:right w:val="single" w:sz="4" w:space="0" w:color="auto"/>
            </w:tcBorders>
            <w:vAlign w:val="center"/>
            <w:hideMark/>
          </w:tcPr>
          <w:p w14:paraId="79A5CA0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Applicants must demonstrate high financial capacity and meet immigration criteria used for EB-1 or EB-2 level categories and pass comprehensive screening</w:t>
            </w:r>
          </w:p>
          <w:p w14:paraId="6844A331"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p>
        </w:tc>
        <w:tc>
          <w:tcPr>
            <w:tcW w:w="3782" w:type="dxa"/>
            <w:tcBorders>
              <w:top w:val="nil"/>
              <w:left w:val="nil"/>
              <w:bottom w:val="single" w:sz="4" w:space="0" w:color="auto"/>
              <w:right w:val="single" w:sz="4" w:space="0" w:color="auto"/>
            </w:tcBorders>
            <w:vAlign w:val="center"/>
            <w:hideMark/>
          </w:tcPr>
          <w:p w14:paraId="2C358C9B"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Foreign investors, founders and shareholders of enterprises with foreign investment, individuals in business management</w:t>
            </w:r>
          </w:p>
        </w:tc>
        <w:tc>
          <w:tcPr>
            <w:tcW w:w="3330" w:type="dxa"/>
            <w:tcBorders>
              <w:top w:val="nil"/>
              <w:left w:val="nil"/>
              <w:bottom w:val="single" w:sz="4" w:space="0" w:color="auto"/>
              <w:right w:val="single" w:sz="4" w:space="0" w:color="auto"/>
            </w:tcBorders>
            <w:vAlign w:val="center"/>
            <w:hideMark/>
          </w:tcPr>
          <w:p w14:paraId="1D5FEF2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Core categories IT specialists, IT investors, founders of IT Park Uzbekistan resident companies, senior officers of resident’s academic staff and startup program participants. </w:t>
            </w:r>
            <w:r w:rsidRPr="00795062">
              <w:rPr>
                <w:rFonts w:ascii="Cambria" w:eastAsia="Times New Roman" w:hAnsi="Cambria" w:cs="Calibri"/>
                <w:color w:val="000000"/>
                <w:sz w:val="22"/>
                <w:szCs w:val="22"/>
                <w:lang w:val="en-US"/>
                <w14:ligatures w14:val="none"/>
              </w:rPr>
              <w:br/>
              <w:t>Criteria include IT qualification confirmation and financial thresholds</w:t>
            </w:r>
          </w:p>
        </w:tc>
        <w:tc>
          <w:tcPr>
            <w:tcW w:w="2700" w:type="dxa"/>
            <w:tcBorders>
              <w:top w:val="nil"/>
              <w:left w:val="nil"/>
              <w:bottom w:val="single" w:sz="4" w:space="0" w:color="auto"/>
              <w:right w:val="single" w:sz="4" w:space="0" w:color="auto"/>
            </w:tcBorders>
            <w:vAlign w:val="center"/>
            <w:hideMark/>
          </w:tcPr>
          <w:p w14:paraId="0467552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Foreign citizens and stateless persons who confirm payment of the required investment amount and pass migration screening</w:t>
            </w:r>
          </w:p>
        </w:tc>
      </w:tr>
      <w:tr w:rsidR="00A45035" w:rsidRPr="00795062" w14:paraId="3CE55758" w14:textId="77777777" w:rsidTr="00795062">
        <w:trPr>
          <w:trHeight w:val="1152"/>
        </w:trPr>
        <w:tc>
          <w:tcPr>
            <w:tcW w:w="1696" w:type="dxa"/>
            <w:tcBorders>
              <w:top w:val="single" w:sz="4" w:space="0" w:color="auto"/>
              <w:left w:val="single" w:sz="4" w:space="0" w:color="auto"/>
              <w:bottom w:val="single" w:sz="4" w:space="0" w:color="auto"/>
              <w:right w:val="single" w:sz="4" w:space="0" w:color="auto"/>
            </w:tcBorders>
            <w:vAlign w:val="center"/>
            <w:hideMark/>
          </w:tcPr>
          <w:p w14:paraId="06DBB7EE"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lastRenderedPageBreak/>
              <w:t xml:space="preserve">Financial </w:t>
            </w:r>
            <w:proofErr w:type="spellStart"/>
            <w:r w:rsidRPr="00795062">
              <w:rPr>
                <w:rFonts w:ascii="Cambria" w:eastAsia="Times New Roman" w:hAnsi="Cambria" w:cs="Calibri"/>
                <w:color w:val="000000"/>
                <w:sz w:val="22"/>
                <w:szCs w:val="22"/>
                <w14:ligatures w14:val="none"/>
              </w:rPr>
              <w:t>eligibility</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thresholds</w:t>
            </w:r>
            <w:proofErr w:type="spellEnd"/>
          </w:p>
        </w:tc>
        <w:tc>
          <w:tcPr>
            <w:tcW w:w="2977" w:type="dxa"/>
            <w:tcBorders>
              <w:top w:val="single" w:sz="4" w:space="0" w:color="auto"/>
              <w:left w:val="single" w:sz="4" w:space="0" w:color="auto"/>
              <w:bottom w:val="single" w:sz="4" w:space="0" w:color="auto"/>
              <w:right w:val="single" w:sz="4" w:space="0" w:color="auto"/>
            </w:tcBorders>
            <w:vAlign w:val="center"/>
            <w:hideMark/>
          </w:tcPr>
          <w:p w14:paraId="362BCA67"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USD 1,000,000 mandatory contribution after vetting approval</w:t>
            </w:r>
          </w:p>
        </w:tc>
        <w:tc>
          <w:tcPr>
            <w:tcW w:w="3782" w:type="dxa"/>
            <w:tcBorders>
              <w:top w:val="single" w:sz="4" w:space="0" w:color="auto"/>
              <w:left w:val="single" w:sz="4" w:space="0" w:color="auto"/>
              <w:bottom w:val="single" w:sz="4" w:space="0" w:color="auto"/>
              <w:right w:val="single" w:sz="4" w:space="0" w:color="auto"/>
            </w:tcBorders>
            <w:vAlign w:val="center"/>
            <w:hideMark/>
          </w:tcPr>
          <w:p w14:paraId="490099F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Determined by authentic investment volume,</w:t>
            </w:r>
            <w:r w:rsidRPr="00795062">
              <w:rPr>
                <w:rFonts w:ascii="Cambria" w:eastAsia="Times New Roman" w:hAnsi="Cambria" w:cs="Calibri"/>
                <w:color w:val="000000"/>
                <w:sz w:val="22"/>
                <w:szCs w:val="22"/>
                <w:lang w:val="en-US"/>
                <w14:ligatures w14:val="none"/>
              </w:rPr>
              <w:br/>
              <w:t>no fixed nonrefundable threshold</w:t>
            </w:r>
          </w:p>
        </w:tc>
        <w:tc>
          <w:tcPr>
            <w:tcW w:w="3330" w:type="dxa"/>
            <w:tcBorders>
              <w:top w:val="single" w:sz="4" w:space="0" w:color="auto"/>
              <w:left w:val="single" w:sz="4" w:space="0" w:color="auto"/>
              <w:bottom w:val="single" w:sz="4" w:space="0" w:color="auto"/>
              <w:right w:val="single" w:sz="4" w:space="0" w:color="auto"/>
            </w:tcBorders>
            <w:vAlign w:val="center"/>
            <w:hideMark/>
          </w:tcPr>
          <w:p w14:paraId="371ED28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IT specialist confirmed annual IT income of at least USD 30,000. </w:t>
            </w:r>
            <w:r w:rsidRPr="00795062">
              <w:rPr>
                <w:rFonts w:ascii="Cambria" w:eastAsia="Times New Roman" w:hAnsi="Cambria" w:cs="Calibri"/>
                <w:color w:val="000000"/>
                <w:sz w:val="22"/>
                <w:szCs w:val="22"/>
                <w:lang w:val="en-US"/>
                <w14:ligatures w14:val="none"/>
              </w:rPr>
              <w:br/>
              <w:t>Investor participation in an IT project with at least USD 10,000 investment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47F30F4"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USD 250,000 for the main applicant plus USD 150,000 for each family member (spouses, parents, children)</w:t>
            </w:r>
          </w:p>
        </w:tc>
      </w:tr>
      <w:tr w:rsidR="00A45035" w:rsidRPr="00795062" w14:paraId="228E1979" w14:textId="77777777" w:rsidTr="00795062">
        <w:trPr>
          <w:trHeight w:val="1440"/>
        </w:trPr>
        <w:tc>
          <w:tcPr>
            <w:tcW w:w="1696" w:type="dxa"/>
            <w:tcBorders>
              <w:top w:val="single" w:sz="4" w:space="0" w:color="auto"/>
              <w:left w:val="single" w:sz="4" w:space="0" w:color="auto"/>
              <w:bottom w:val="single" w:sz="4" w:space="0" w:color="auto"/>
              <w:right w:val="single" w:sz="4" w:space="0" w:color="auto"/>
            </w:tcBorders>
            <w:vAlign w:val="center"/>
            <w:hideMark/>
          </w:tcPr>
          <w:p w14:paraId="455499B8"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Costs and mandatory contributions to the budget</w:t>
            </w:r>
          </w:p>
        </w:tc>
        <w:tc>
          <w:tcPr>
            <w:tcW w:w="2977" w:type="dxa"/>
            <w:tcBorders>
              <w:top w:val="single" w:sz="4" w:space="0" w:color="auto"/>
              <w:left w:val="nil"/>
              <w:bottom w:val="single" w:sz="4" w:space="0" w:color="auto"/>
              <w:right w:val="single" w:sz="4" w:space="0" w:color="auto"/>
            </w:tcBorders>
            <w:vAlign w:val="center"/>
            <w:hideMark/>
          </w:tcPr>
          <w:p w14:paraId="5999FE0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For individuals USD 15,000 nonrefundable processing fee plus standard consular and processing fees</w:t>
            </w:r>
          </w:p>
        </w:tc>
        <w:tc>
          <w:tcPr>
            <w:tcW w:w="3782" w:type="dxa"/>
            <w:tcBorders>
              <w:top w:val="single" w:sz="4" w:space="0" w:color="auto"/>
              <w:left w:val="nil"/>
              <w:bottom w:val="single" w:sz="4" w:space="0" w:color="auto"/>
              <w:right w:val="single" w:sz="4" w:space="0" w:color="auto"/>
            </w:tcBorders>
            <w:vAlign w:val="center"/>
            <w:hideMark/>
          </w:tcPr>
          <w:p w14:paraId="03B28E9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Standard visa and registration fees,</w:t>
            </w:r>
            <w:r w:rsidRPr="00795062">
              <w:rPr>
                <w:rFonts w:ascii="Cambria" w:eastAsia="Times New Roman" w:hAnsi="Cambria" w:cs="Calibri"/>
                <w:color w:val="000000"/>
                <w:sz w:val="22"/>
                <w:szCs w:val="22"/>
                <w:lang w:val="en-US"/>
                <w14:ligatures w14:val="none"/>
              </w:rPr>
              <w:br/>
              <w:t>no additional mandatory investment payment to the budget</w:t>
            </w:r>
          </w:p>
        </w:tc>
        <w:tc>
          <w:tcPr>
            <w:tcW w:w="3330" w:type="dxa"/>
            <w:tcBorders>
              <w:top w:val="single" w:sz="4" w:space="0" w:color="auto"/>
              <w:left w:val="nil"/>
              <w:bottom w:val="single" w:sz="4" w:space="0" w:color="auto"/>
              <w:right w:val="single" w:sz="4" w:space="0" w:color="auto"/>
            </w:tcBorders>
            <w:vAlign w:val="center"/>
            <w:hideMark/>
          </w:tcPr>
          <w:p w14:paraId="7414CDA1" w14:textId="6802F8CE"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Payments limited to standard visa fees under national state duty legislation.</w:t>
            </w:r>
            <w:r w:rsidR="00795062">
              <w:rPr>
                <w:rFonts w:ascii="Cambria" w:eastAsia="Times New Roman" w:hAnsi="Cambria" w:cs="Calibri"/>
                <w:color w:val="000000"/>
                <w:sz w:val="22"/>
                <w:szCs w:val="22"/>
                <w:lang w:val="en-US"/>
                <w14:ligatures w14:val="none"/>
              </w:rPr>
              <w:t xml:space="preserve"> </w:t>
            </w:r>
            <w:proofErr w:type="gramStart"/>
            <w:r w:rsidRPr="00795062">
              <w:rPr>
                <w:rFonts w:ascii="Cambria" w:eastAsia="Times New Roman" w:hAnsi="Cambria" w:cs="Calibri"/>
                <w:color w:val="000000"/>
                <w:sz w:val="22"/>
                <w:szCs w:val="22"/>
                <w:lang w:val="en-US"/>
                <w14:ligatures w14:val="none"/>
              </w:rPr>
              <w:t>No</w:t>
            </w:r>
            <w:proofErr w:type="gramEnd"/>
            <w:r w:rsidRPr="00795062">
              <w:rPr>
                <w:rFonts w:ascii="Cambria" w:eastAsia="Times New Roman" w:hAnsi="Cambria" w:cs="Calibri"/>
                <w:color w:val="000000"/>
                <w:sz w:val="22"/>
                <w:szCs w:val="22"/>
                <w:lang w:val="en-US"/>
                <w14:ligatures w14:val="none"/>
              </w:rPr>
              <w:t xml:space="preserve"> separate participation payment generally required</w:t>
            </w:r>
          </w:p>
        </w:tc>
        <w:tc>
          <w:tcPr>
            <w:tcW w:w="2700" w:type="dxa"/>
            <w:tcBorders>
              <w:top w:val="single" w:sz="4" w:space="0" w:color="auto"/>
              <w:left w:val="nil"/>
              <w:bottom w:val="single" w:sz="4" w:space="0" w:color="auto"/>
              <w:right w:val="single" w:sz="4" w:space="0" w:color="auto"/>
            </w:tcBorders>
            <w:vAlign w:val="center"/>
            <w:hideMark/>
          </w:tcPr>
          <w:p w14:paraId="5D21A215"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Core cost equals the investment threshold plus standard fees for residence permit issuance and migration services</w:t>
            </w:r>
          </w:p>
        </w:tc>
      </w:tr>
      <w:tr w:rsidR="00A45035" w:rsidRPr="00795062" w14:paraId="21D2539B" w14:textId="77777777" w:rsidTr="00A45035">
        <w:trPr>
          <w:trHeight w:val="2016"/>
        </w:trPr>
        <w:tc>
          <w:tcPr>
            <w:tcW w:w="1696" w:type="dxa"/>
            <w:tcBorders>
              <w:top w:val="nil"/>
              <w:left w:val="single" w:sz="4" w:space="0" w:color="auto"/>
              <w:bottom w:val="single" w:sz="4" w:space="0" w:color="auto"/>
              <w:right w:val="single" w:sz="4" w:space="0" w:color="auto"/>
            </w:tcBorders>
            <w:vAlign w:val="center"/>
            <w:hideMark/>
          </w:tcPr>
          <w:p w14:paraId="407404CF"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t xml:space="preserve">Corporate </w:t>
            </w:r>
            <w:proofErr w:type="spellStart"/>
            <w:r w:rsidRPr="00795062">
              <w:rPr>
                <w:rFonts w:ascii="Cambria" w:eastAsia="Times New Roman" w:hAnsi="Cambria" w:cs="Calibri"/>
                <w:color w:val="000000"/>
                <w:sz w:val="22"/>
                <w:szCs w:val="22"/>
                <w14:ligatures w14:val="none"/>
              </w:rPr>
              <w:t>track</w:t>
            </w:r>
            <w:proofErr w:type="spellEnd"/>
          </w:p>
        </w:tc>
        <w:tc>
          <w:tcPr>
            <w:tcW w:w="2977" w:type="dxa"/>
            <w:tcBorders>
              <w:top w:val="nil"/>
              <w:left w:val="nil"/>
              <w:bottom w:val="single" w:sz="4" w:space="0" w:color="auto"/>
              <w:right w:val="single" w:sz="4" w:space="0" w:color="auto"/>
            </w:tcBorders>
            <w:vAlign w:val="center"/>
            <w:hideMark/>
          </w:tcPr>
          <w:p w14:paraId="3DE9487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Companies contribute USD 2,000,000 per sponsored employee, USD 15,000 visa processing fee plus standard consular and processing fees. Additional annual payment of 1% of the contribution and 5% fee upon transferring the right to another employee</w:t>
            </w:r>
          </w:p>
        </w:tc>
        <w:tc>
          <w:tcPr>
            <w:tcW w:w="3782" w:type="dxa"/>
            <w:tcBorders>
              <w:top w:val="nil"/>
              <w:left w:val="nil"/>
              <w:bottom w:val="single" w:sz="4" w:space="0" w:color="auto"/>
              <w:right w:val="single" w:sz="4" w:space="0" w:color="auto"/>
            </w:tcBorders>
            <w:vAlign w:val="center"/>
            <w:hideMark/>
          </w:tcPr>
          <w:p w14:paraId="398E2A8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Implemented through participation in a corporate entity with foreign investment, </w:t>
            </w:r>
            <w:r w:rsidRPr="00795062">
              <w:rPr>
                <w:rFonts w:ascii="Cambria" w:eastAsia="Times New Roman" w:hAnsi="Cambria" w:cs="Calibri"/>
                <w:color w:val="000000"/>
                <w:sz w:val="22"/>
                <w:szCs w:val="22"/>
                <w:lang w:val="en-US"/>
                <w14:ligatures w14:val="none"/>
              </w:rPr>
              <w:br/>
              <w:t>no corporate contribution for status</w:t>
            </w:r>
          </w:p>
        </w:tc>
        <w:tc>
          <w:tcPr>
            <w:tcW w:w="3330" w:type="dxa"/>
            <w:tcBorders>
              <w:top w:val="nil"/>
              <w:left w:val="nil"/>
              <w:bottom w:val="single" w:sz="4" w:space="0" w:color="auto"/>
              <w:right w:val="single" w:sz="4" w:space="0" w:color="auto"/>
            </w:tcBorders>
            <w:vAlign w:val="center"/>
            <w:hideMark/>
          </w:tcPr>
          <w:p w14:paraId="1E02CF25"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Implemented through petitions and recommendations from a company linked to IT Park Uzbekistan. No mandatory corporate contribution for status</w:t>
            </w:r>
          </w:p>
        </w:tc>
        <w:tc>
          <w:tcPr>
            <w:tcW w:w="2700" w:type="dxa"/>
            <w:tcBorders>
              <w:top w:val="nil"/>
              <w:left w:val="nil"/>
              <w:bottom w:val="single" w:sz="4" w:space="0" w:color="auto"/>
              <w:right w:val="single" w:sz="4" w:space="0" w:color="auto"/>
            </w:tcBorders>
            <w:vAlign w:val="center"/>
            <w:hideMark/>
          </w:tcPr>
          <w:p w14:paraId="6CD17E34"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corporate track, status issued personally to the investor</w:t>
            </w:r>
          </w:p>
        </w:tc>
      </w:tr>
      <w:tr w:rsidR="00A45035" w:rsidRPr="00795062" w14:paraId="51943E20" w14:textId="77777777" w:rsidTr="00795062">
        <w:trPr>
          <w:trHeight w:val="703"/>
        </w:trPr>
        <w:tc>
          <w:tcPr>
            <w:tcW w:w="1696" w:type="dxa"/>
            <w:tcBorders>
              <w:top w:val="nil"/>
              <w:left w:val="single" w:sz="4" w:space="0" w:color="auto"/>
              <w:bottom w:val="single" w:sz="4" w:space="0" w:color="auto"/>
              <w:right w:val="single" w:sz="4" w:space="0" w:color="auto"/>
            </w:tcBorders>
            <w:vAlign w:val="center"/>
            <w:hideMark/>
          </w:tcPr>
          <w:p w14:paraId="1CDE2E30"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t xml:space="preserve">Family </w:t>
            </w:r>
            <w:proofErr w:type="spellStart"/>
            <w:r w:rsidRPr="00795062">
              <w:rPr>
                <w:rFonts w:ascii="Cambria" w:eastAsia="Times New Roman" w:hAnsi="Cambria" w:cs="Calibri"/>
                <w:color w:val="000000"/>
                <w:sz w:val="22"/>
                <w:szCs w:val="22"/>
                <w14:ligatures w14:val="none"/>
              </w:rPr>
              <w:t>members</w:t>
            </w:r>
            <w:proofErr w:type="spellEnd"/>
          </w:p>
        </w:tc>
        <w:tc>
          <w:tcPr>
            <w:tcW w:w="2977" w:type="dxa"/>
            <w:tcBorders>
              <w:top w:val="nil"/>
              <w:left w:val="nil"/>
              <w:bottom w:val="single" w:sz="4" w:space="0" w:color="auto"/>
              <w:right w:val="single" w:sz="4" w:space="0" w:color="auto"/>
            </w:tcBorders>
            <w:vAlign w:val="center"/>
            <w:hideMark/>
          </w:tcPr>
          <w:p w14:paraId="129EA8D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Each family member is treated as a separate participant with full program payments</w:t>
            </w:r>
          </w:p>
        </w:tc>
        <w:tc>
          <w:tcPr>
            <w:tcW w:w="3782" w:type="dxa"/>
            <w:tcBorders>
              <w:top w:val="nil"/>
              <w:left w:val="nil"/>
              <w:bottom w:val="single" w:sz="4" w:space="0" w:color="auto"/>
              <w:right w:val="single" w:sz="4" w:space="0" w:color="auto"/>
            </w:tcBorders>
            <w:vAlign w:val="center"/>
            <w:hideMark/>
          </w:tcPr>
          <w:p w14:paraId="6BC07C9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Family members may obtain visa and residence status valid for the same period as the principal applicant</w:t>
            </w:r>
          </w:p>
        </w:tc>
        <w:tc>
          <w:tcPr>
            <w:tcW w:w="3330" w:type="dxa"/>
            <w:tcBorders>
              <w:top w:val="nil"/>
              <w:left w:val="nil"/>
              <w:bottom w:val="single" w:sz="4" w:space="0" w:color="auto"/>
              <w:right w:val="single" w:sz="4" w:space="0" w:color="auto"/>
            </w:tcBorders>
            <w:vAlign w:val="center"/>
            <w:hideMark/>
          </w:tcPr>
          <w:p w14:paraId="5279E04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Family members may obtain guest status for the period of the main visa with renewal without exit. Certain social benefits extend to the family</w:t>
            </w:r>
          </w:p>
        </w:tc>
        <w:tc>
          <w:tcPr>
            <w:tcW w:w="2700" w:type="dxa"/>
            <w:tcBorders>
              <w:top w:val="nil"/>
              <w:left w:val="nil"/>
              <w:bottom w:val="single" w:sz="4" w:space="0" w:color="auto"/>
              <w:right w:val="single" w:sz="4" w:space="0" w:color="auto"/>
            </w:tcBorders>
            <w:vAlign w:val="center"/>
            <w:hideMark/>
          </w:tcPr>
          <w:p w14:paraId="289D57F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Family members obtain residence permits upon payment of an additional investment amount for each family member</w:t>
            </w:r>
          </w:p>
        </w:tc>
      </w:tr>
      <w:tr w:rsidR="00A45035" w:rsidRPr="00795062" w14:paraId="2C88CCA6" w14:textId="77777777" w:rsidTr="00795062">
        <w:trPr>
          <w:trHeight w:val="1152"/>
        </w:trPr>
        <w:tc>
          <w:tcPr>
            <w:tcW w:w="1696" w:type="dxa"/>
            <w:tcBorders>
              <w:top w:val="single" w:sz="4" w:space="0" w:color="auto"/>
              <w:left w:val="single" w:sz="4" w:space="0" w:color="auto"/>
              <w:bottom w:val="single" w:sz="4" w:space="0" w:color="auto"/>
              <w:right w:val="single" w:sz="4" w:space="0" w:color="auto"/>
            </w:tcBorders>
            <w:vAlign w:val="center"/>
            <w:hideMark/>
          </w:tcPr>
          <w:p w14:paraId="3F203607"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Right</w:t>
            </w:r>
            <w:proofErr w:type="spellEnd"/>
            <w:r w:rsidRPr="00795062">
              <w:rPr>
                <w:rFonts w:ascii="Cambria" w:eastAsia="Times New Roman" w:hAnsi="Cambria" w:cs="Calibri"/>
                <w:color w:val="000000"/>
                <w:sz w:val="22"/>
                <w:szCs w:val="22"/>
                <w14:ligatures w14:val="none"/>
              </w:rPr>
              <w:t xml:space="preserve"> to </w:t>
            </w:r>
            <w:proofErr w:type="spellStart"/>
            <w:r w:rsidRPr="00795062">
              <w:rPr>
                <w:rFonts w:ascii="Cambria" w:eastAsia="Times New Roman" w:hAnsi="Cambria" w:cs="Calibri"/>
                <w:color w:val="000000"/>
                <w:sz w:val="22"/>
                <w:szCs w:val="22"/>
                <w14:ligatures w14:val="none"/>
              </w:rPr>
              <w:t>work</w:t>
            </w:r>
            <w:proofErr w:type="spellEnd"/>
          </w:p>
        </w:tc>
        <w:tc>
          <w:tcPr>
            <w:tcW w:w="2977" w:type="dxa"/>
            <w:tcBorders>
              <w:top w:val="single" w:sz="4" w:space="0" w:color="auto"/>
              <w:left w:val="single" w:sz="4" w:space="0" w:color="auto"/>
              <w:bottom w:val="single" w:sz="4" w:space="0" w:color="auto"/>
              <w:right w:val="single" w:sz="4" w:space="0" w:color="auto"/>
            </w:tcBorders>
            <w:vAlign w:val="center"/>
            <w:hideMark/>
          </w:tcPr>
          <w:p w14:paraId="51C593AB"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As a U.S. permanent resident at the EB-1 or EB-2 level (right to work derives from resident status and potential eventual citizenship)</w:t>
            </w:r>
          </w:p>
        </w:tc>
        <w:tc>
          <w:tcPr>
            <w:tcW w:w="3782" w:type="dxa"/>
            <w:tcBorders>
              <w:top w:val="single" w:sz="4" w:space="0" w:color="auto"/>
              <w:left w:val="single" w:sz="4" w:space="0" w:color="auto"/>
              <w:bottom w:val="single" w:sz="4" w:space="0" w:color="auto"/>
              <w:right w:val="single" w:sz="4" w:space="0" w:color="auto"/>
            </w:tcBorders>
            <w:vAlign w:val="center"/>
            <w:hideMark/>
          </w:tcPr>
          <w:p w14:paraId="23BEDAE5"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Entrepreneurial and managerial activity is allowed without a separate work permit</w:t>
            </w:r>
          </w:p>
        </w:tc>
        <w:tc>
          <w:tcPr>
            <w:tcW w:w="3330" w:type="dxa"/>
            <w:tcBorders>
              <w:top w:val="single" w:sz="4" w:space="0" w:color="auto"/>
              <w:left w:val="single" w:sz="4" w:space="0" w:color="auto"/>
              <w:bottom w:val="single" w:sz="4" w:space="0" w:color="auto"/>
              <w:right w:val="single" w:sz="4" w:space="0" w:color="auto"/>
            </w:tcBorders>
            <w:vAlign w:val="center"/>
            <w:hideMark/>
          </w:tcPr>
          <w:p w14:paraId="6BE0398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Legal employment is possible without a separate work permit provided program conditions and connection to IT Park Uzbekistan are kept</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40B4AE2" w14:textId="5A2D6E66"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General residence permit rules </w:t>
            </w:r>
            <w:r w:rsidR="002551B2" w:rsidRPr="00795062">
              <w:rPr>
                <w:rFonts w:ascii="Cambria" w:eastAsia="Times New Roman" w:hAnsi="Cambria" w:cs="Calibri"/>
                <w:color w:val="000000"/>
                <w:sz w:val="22"/>
                <w:szCs w:val="22"/>
                <w:lang w:val="en-US"/>
                <w14:ligatures w14:val="none"/>
              </w:rPr>
              <w:t>apply;</w:t>
            </w:r>
            <w:r w:rsidRPr="00795062">
              <w:rPr>
                <w:rFonts w:ascii="Cambria" w:eastAsia="Times New Roman" w:hAnsi="Cambria" w:cs="Calibri"/>
                <w:color w:val="000000"/>
                <w:sz w:val="22"/>
                <w:szCs w:val="22"/>
                <w:lang w:val="en-US"/>
                <w14:ligatures w14:val="none"/>
              </w:rPr>
              <w:t xml:space="preserve"> the program does not introduce a separate automatic labor regime</w:t>
            </w:r>
          </w:p>
        </w:tc>
      </w:tr>
      <w:tr w:rsidR="00A45035" w:rsidRPr="00795062" w14:paraId="73A53E34" w14:textId="77777777" w:rsidTr="00795062">
        <w:trPr>
          <w:trHeight w:val="1152"/>
        </w:trPr>
        <w:tc>
          <w:tcPr>
            <w:tcW w:w="1696" w:type="dxa"/>
            <w:tcBorders>
              <w:top w:val="single" w:sz="4" w:space="0" w:color="auto"/>
              <w:left w:val="single" w:sz="4" w:space="0" w:color="auto"/>
              <w:bottom w:val="single" w:sz="4" w:space="0" w:color="auto"/>
              <w:right w:val="single" w:sz="4" w:space="0" w:color="auto"/>
            </w:tcBorders>
            <w:vAlign w:val="center"/>
            <w:hideMark/>
          </w:tcPr>
          <w:p w14:paraId="171FB554"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lastRenderedPageBreak/>
              <w:t>Social benefits: healthcare and education</w:t>
            </w:r>
          </w:p>
        </w:tc>
        <w:tc>
          <w:tcPr>
            <w:tcW w:w="2977" w:type="dxa"/>
            <w:tcBorders>
              <w:top w:val="single" w:sz="4" w:space="0" w:color="auto"/>
              <w:left w:val="nil"/>
              <w:bottom w:val="single" w:sz="4" w:space="0" w:color="auto"/>
              <w:right w:val="single" w:sz="4" w:space="0" w:color="auto"/>
            </w:tcBorders>
            <w:vAlign w:val="center"/>
            <w:hideMark/>
          </w:tcPr>
          <w:p w14:paraId="367C13C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General U.S. rules for permanent residents apply without special state tariffs. Healthcare remains largely insurance based and paid</w:t>
            </w:r>
          </w:p>
        </w:tc>
        <w:tc>
          <w:tcPr>
            <w:tcW w:w="3782" w:type="dxa"/>
            <w:tcBorders>
              <w:top w:val="single" w:sz="4" w:space="0" w:color="auto"/>
              <w:left w:val="nil"/>
              <w:bottom w:val="single" w:sz="4" w:space="0" w:color="auto"/>
              <w:right w:val="single" w:sz="4" w:space="0" w:color="auto"/>
            </w:tcBorders>
            <w:vAlign w:val="center"/>
            <w:hideMark/>
          </w:tcPr>
          <w:p w14:paraId="510ED4D0"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bookmarkStart w:id="0" w:name="_Hlk216702490"/>
            <w:r w:rsidRPr="00795062">
              <w:rPr>
                <w:rFonts w:ascii="Cambria" w:eastAsia="Times New Roman" w:hAnsi="Cambria" w:cs="Calibri"/>
                <w:color w:val="000000"/>
                <w:sz w:val="22"/>
                <w:szCs w:val="22"/>
                <w:lang w:val="en-US"/>
                <w14:ligatures w14:val="none"/>
              </w:rPr>
              <w:t>Access to healthcare and education on resident terms</w:t>
            </w:r>
            <w:bookmarkEnd w:id="0"/>
          </w:p>
        </w:tc>
        <w:tc>
          <w:tcPr>
            <w:tcW w:w="3330" w:type="dxa"/>
            <w:tcBorders>
              <w:top w:val="single" w:sz="4" w:space="0" w:color="auto"/>
              <w:left w:val="nil"/>
              <w:bottom w:val="single" w:sz="4" w:space="0" w:color="auto"/>
              <w:right w:val="single" w:sz="4" w:space="0" w:color="auto"/>
            </w:tcBorders>
            <w:vAlign w:val="center"/>
            <w:hideMark/>
          </w:tcPr>
          <w:p w14:paraId="4107198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 xml:space="preserve">Preferential access, including family members, to medical and educational services in public institutions on terms applicable to citizens of Uzbekistan </w:t>
            </w:r>
          </w:p>
        </w:tc>
        <w:tc>
          <w:tcPr>
            <w:tcW w:w="2700" w:type="dxa"/>
            <w:tcBorders>
              <w:top w:val="single" w:sz="4" w:space="0" w:color="auto"/>
              <w:left w:val="nil"/>
              <w:bottom w:val="single" w:sz="4" w:space="0" w:color="auto"/>
              <w:right w:val="single" w:sz="4" w:space="0" w:color="auto"/>
            </w:tcBorders>
            <w:vAlign w:val="center"/>
            <w:hideMark/>
          </w:tcPr>
          <w:p w14:paraId="486A8A4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No special benefits are declared, access governed by general rules for residence permit holders</w:t>
            </w:r>
          </w:p>
        </w:tc>
      </w:tr>
      <w:tr w:rsidR="00A45035" w:rsidRPr="00795062" w14:paraId="6987314A" w14:textId="77777777" w:rsidTr="00A45035">
        <w:trPr>
          <w:trHeight w:val="1152"/>
        </w:trPr>
        <w:tc>
          <w:tcPr>
            <w:tcW w:w="1696" w:type="dxa"/>
            <w:tcBorders>
              <w:top w:val="nil"/>
              <w:left w:val="single" w:sz="4" w:space="0" w:color="auto"/>
              <w:bottom w:val="single" w:sz="4" w:space="0" w:color="auto"/>
              <w:right w:val="single" w:sz="4" w:space="0" w:color="auto"/>
            </w:tcBorders>
            <w:vAlign w:val="center"/>
            <w:hideMark/>
          </w:tcPr>
          <w:p w14:paraId="25504D20" w14:textId="77777777" w:rsidR="00A45035" w:rsidRPr="00795062" w:rsidRDefault="00A45035" w:rsidP="008424E7">
            <w:pPr>
              <w:spacing w:after="0"/>
              <w:jc w:val="center"/>
              <w:rPr>
                <w:rFonts w:ascii="Cambria" w:eastAsia="Times New Roman" w:hAnsi="Cambria" w:cs="Calibri"/>
                <w:color w:val="000000"/>
                <w:sz w:val="22"/>
                <w:szCs w:val="22"/>
                <w14:ligatures w14:val="none"/>
              </w:rPr>
            </w:pPr>
            <w:r w:rsidRPr="00795062">
              <w:rPr>
                <w:rFonts w:ascii="Cambria" w:eastAsia="Times New Roman" w:hAnsi="Cambria" w:cs="Calibri"/>
                <w:color w:val="000000"/>
                <w:sz w:val="22"/>
                <w:szCs w:val="22"/>
                <w14:ligatures w14:val="none"/>
              </w:rPr>
              <w:t xml:space="preserve">Property </w:t>
            </w:r>
            <w:proofErr w:type="spellStart"/>
            <w:r w:rsidRPr="00795062">
              <w:rPr>
                <w:rFonts w:ascii="Cambria" w:eastAsia="Times New Roman" w:hAnsi="Cambria" w:cs="Calibri"/>
                <w:color w:val="000000"/>
                <w:sz w:val="22"/>
                <w:szCs w:val="22"/>
                <w14:ligatures w14:val="none"/>
              </w:rPr>
              <w:t>rights</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real</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estate</w:t>
            </w:r>
            <w:proofErr w:type="spellEnd"/>
          </w:p>
        </w:tc>
        <w:tc>
          <w:tcPr>
            <w:tcW w:w="2977" w:type="dxa"/>
            <w:tcBorders>
              <w:top w:val="nil"/>
              <w:left w:val="nil"/>
              <w:bottom w:val="single" w:sz="4" w:space="0" w:color="auto"/>
              <w:right w:val="single" w:sz="4" w:space="0" w:color="auto"/>
            </w:tcBorders>
            <w:vAlign w:val="center"/>
            <w:hideMark/>
          </w:tcPr>
          <w:p w14:paraId="14AB7E66"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Real estate acquisition not restricted by program specific rules</w:t>
            </w:r>
          </w:p>
        </w:tc>
        <w:tc>
          <w:tcPr>
            <w:tcW w:w="3782" w:type="dxa"/>
            <w:tcBorders>
              <w:top w:val="nil"/>
              <w:left w:val="nil"/>
              <w:bottom w:val="single" w:sz="4" w:space="0" w:color="auto"/>
              <w:right w:val="single" w:sz="4" w:space="0" w:color="auto"/>
            </w:tcBorders>
            <w:vAlign w:val="center"/>
            <w:hideMark/>
          </w:tcPr>
          <w:p w14:paraId="121CC44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Right to acquire and lease real estate, ownership of property and opening bank accounts</w:t>
            </w:r>
          </w:p>
        </w:tc>
        <w:tc>
          <w:tcPr>
            <w:tcW w:w="3330" w:type="dxa"/>
            <w:tcBorders>
              <w:top w:val="nil"/>
              <w:left w:val="nil"/>
              <w:bottom w:val="single" w:sz="4" w:space="0" w:color="auto"/>
              <w:right w:val="single" w:sz="4" w:space="0" w:color="auto"/>
            </w:tcBorders>
            <w:vAlign w:val="center"/>
            <w:hideMark/>
          </w:tcPr>
          <w:p w14:paraId="74A1CA1A"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Real estate acquisition is allowed without value thresholds that apply to some other categories of foreigners outside the program</w:t>
            </w:r>
          </w:p>
        </w:tc>
        <w:tc>
          <w:tcPr>
            <w:tcW w:w="2700" w:type="dxa"/>
            <w:tcBorders>
              <w:top w:val="nil"/>
              <w:left w:val="nil"/>
              <w:bottom w:val="single" w:sz="4" w:space="0" w:color="auto"/>
              <w:right w:val="single" w:sz="4" w:space="0" w:color="auto"/>
            </w:tcBorders>
            <w:vAlign w:val="center"/>
            <w:hideMark/>
          </w:tcPr>
          <w:p w14:paraId="7DD3352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Residence permit does not require purchasing real estate, ownership governed by general rules for foreigners</w:t>
            </w:r>
          </w:p>
        </w:tc>
      </w:tr>
      <w:tr w:rsidR="00A45035" w:rsidRPr="00795062" w14:paraId="7DF67279" w14:textId="77777777" w:rsidTr="00795062">
        <w:trPr>
          <w:trHeight w:val="1440"/>
        </w:trPr>
        <w:tc>
          <w:tcPr>
            <w:tcW w:w="1696" w:type="dxa"/>
            <w:tcBorders>
              <w:top w:val="nil"/>
              <w:left w:val="single" w:sz="4" w:space="0" w:color="auto"/>
              <w:bottom w:val="single" w:sz="4" w:space="0" w:color="auto"/>
              <w:right w:val="single" w:sz="4" w:space="0" w:color="auto"/>
            </w:tcBorders>
            <w:vAlign w:val="center"/>
            <w:hideMark/>
          </w:tcPr>
          <w:p w14:paraId="027ACFA2"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Tax</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implications</w:t>
            </w:r>
            <w:proofErr w:type="spellEnd"/>
          </w:p>
        </w:tc>
        <w:tc>
          <w:tcPr>
            <w:tcW w:w="2977" w:type="dxa"/>
            <w:tcBorders>
              <w:top w:val="nil"/>
              <w:left w:val="nil"/>
              <w:bottom w:val="single" w:sz="4" w:space="0" w:color="auto"/>
              <w:right w:val="single" w:sz="4" w:space="0" w:color="auto"/>
            </w:tcBorders>
            <w:vAlign w:val="center"/>
            <w:hideMark/>
          </w:tcPr>
          <w:p w14:paraId="3C7C34F8"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Full U.S. tax residency with worldwide income taxation and significant compliance burden</w:t>
            </w:r>
          </w:p>
        </w:tc>
        <w:tc>
          <w:tcPr>
            <w:tcW w:w="3782" w:type="dxa"/>
            <w:tcBorders>
              <w:top w:val="nil"/>
              <w:left w:val="nil"/>
              <w:bottom w:val="single" w:sz="4" w:space="0" w:color="auto"/>
              <w:right w:val="single" w:sz="4" w:space="0" w:color="auto"/>
            </w:tcBorders>
            <w:vAlign w:val="center"/>
            <w:hideMark/>
          </w:tcPr>
          <w:p w14:paraId="0408F401"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Tax residency arises upon actual residence, investment and sector incentives may apply</w:t>
            </w:r>
          </w:p>
        </w:tc>
        <w:tc>
          <w:tcPr>
            <w:tcW w:w="3330" w:type="dxa"/>
            <w:tcBorders>
              <w:top w:val="nil"/>
              <w:left w:val="nil"/>
              <w:bottom w:val="single" w:sz="4" w:space="0" w:color="auto"/>
              <w:right w:val="single" w:sz="4" w:space="0" w:color="auto"/>
            </w:tcBorders>
            <w:vAlign w:val="center"/>
            <w:hideMark/>
          </w:tcPr>
          <w:p w14:paraId="66856FA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In practice benefits often apply through the IT Park Uzbekistan regime, including reduced rates for employees and preferences for resident companies if requirements are met</w:t>
            </w:r>
          </w:p>
        </w:tc>
        <w:tc>
          <w:tcPr>
            <w:tcW w:w="2700" w:type="dxa"/>
            <w:tcBorders>
              <w:top w:val="nil"/>
              <w:left w:val="nil"/>
              <w:bottom w:val="single" w:sz="4" w:space="0" w:color="auto"/>
              <w:right w:val="single" w:sz="4" w:space="0" w:color="auto"/>
            </w:tcBorders>
            <w:vAlign w:val="center"/>
            <w:hideMark/>
          </w:tcPr>
          <w:p w14:paraId="281A2B39"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Tax obligations depend on tax residency and income sources rather than the program name</w:t>
            </w:r>
          </w:p>
        </w:tc>
      </w:tr>
      <w:tr w:rsidR="00A45035" w:rsidRPr="00795062" w14:paraId="43A62A40" w14:textId="77777777" w:rsidTr="00795062">
        <w:trPr>
          <w:trHeight w:val="1728"/>
        </w:trPr>
        <w:tc>
          <w:tcPr>
            <w:tcW w:w="1696" w:type="dxa"/>
            <w:tcBorders>
              <w:top w:val="single" w:sz="4" w:space="0" w:color="auto"/>
              <w:left w:val="single" w:sz="4" w:space="0" w:color="auto"/>
              <w:bottom w:val="single" w:sz="4" w:space="0" w:color="auto"/>
              <w:right w:val="single" w:sz="4" w:space="0" w:color="auto"/>
            </w:tcBorders>
            <w:vAlign w:val="center"/>
            <w:hideMark/>
          </w:tcPr>
          <w:p w14:paraId="72928B7B"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Pathway to permanent residence and citizenship</w:t>
            </w:r>
          </w:p>
        </w:tc>
        <w:tc>
          <w:tcPr>
            <w:tcW w:w="2977" w:type="dxa"/>
            <w:tcBorders>
              <w:top w:val="single" w:sz="4" w:space="0" w:color="auto"/>
              <w:left w:val="single" w:sz="4" w:space="0" w:color="auto"/>
              <w:bottom w:val="single" w:sz="4" w:space="0" w:color="auto"/>
              <w:right w:val="single" w:sz="4" w:space="0" w:color="auto"/>
            </w:tcBorders>
            <w:vAlign w:val="center"/>
            <w:hideMark/>
          </w:tcPr>
          <w:p w14:paraId="7AFDF3E0"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Permanent residence is granted directly. Citizenship is available under general naturalization rules typically after five years of continuous residence and meeting statutory criteria</w:t>
            </w:r>
          </w:p>
        </w:tc>
        <w:tc>
          <w:tcPr>
            <w:tcW w:w="3782" w:type="dxa"/>
            <w:tcBorders>
              <w:top w:val="single" w:sz="4" w:space="0" w:color="auto"/>
              <w:left w:val="single" w:sz="4" w:space="0" w:color="auto"/>
              <w:bottom w:val="single" w:sz="4" w:space="0" w:color="auto"/>
              <w:right w:val="single" w:sz="4" w:space="0" w:color="auto"/>
            </w:tcBorders>
            <w:vAlign w:val="center"/>
            <w:hideMark/>
          </w:tcPr>
          <w:p w14:paraId="7B81E4D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Long term residence possible, citizenship application under general rules</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135E24E"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Visa status is not permanent residence.</w:t>
            </w:r>
          </w:p>
          <w:p w14:paraId="4B379317"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 simplified transition to residence permit is envisaged.</w:t>
            </w:r>
            <w:r w:rsidRPr="00795062">
              <w:rPr>
                <w:rFonts w:ascii="Cambria" w:eastAsia="Times New Roman" w:hAnsi="Cambria" w:cs="Calibri"/>
                <w:color w:val="000000"/>
                <w:sz w:val="22"/>
                <w:szCs w:val="22"/>
                <w:lang w:val="en-US"/>
                <w14:ligatures w14:val="none"/>
              </w:rPr>
              <w:br/>
              <w:t>Citizenship under general rules after obtaining permanent residence and meeting standard requirements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E12C18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A five-year residence permit may serve as a basis for subsequent permanent residence and citizenship under general rules</w:t>
            </w:r>
          </w:p>
        </w:tc>
      </w:tr>
      <w:tr w:rsidR="00A45035" w:rsidRPr="00795062" w14:paraId="6566BF85" w14:textId="77777777" w:rsidTr="00795062">
        <w:trPr>
          <w:trHeight w:val="802"/>
        </w:trPr>
        <w:tc>
          <w:tcPr>
            <w:tcW w:w="1696" w:type="dxa"/>
            <w:tcBorders>
              <w:top w:val="single" w:sz="4" w:space="0" w:color="auto"/>
              <w:left w:val="single" w:sz="4" w:space="0" w:color="auto"/>
              <w:bottom w:val="single" w:sz="4" w:space="0" w:color="auto"/>
              <w:right w:val="single" w:sz="4" w:space="0" w:color="auto"/>
            </w:tcBorders>
            <w:vAlign w:val="center"/>
            <w:hideMark/>
          </w:tcPr>
          <w:p w14:paraId="58AFA24E" w14:textId="77777777" w:rsidR="00A45035" w:rsidRPr="00795062" w:rsidRDefault="00A45035" w:rsidP="008424E7">
            <w:pPr>
              <w:spacing w:after="0"/>
              <w:jc w:val="center"/>
              <w:rPr>
                <w:rFonts w:ascii="Cambria" w:eastAsia="Times New Roman" w:hAnsi="Cambria" w:cs="Calibri"/>
                <w:color w:val="000000"/>
                <w:sz w:val="22"/>
                <w:szCs w:val="22"/>
                <w14:ligatures w14:val="none"/>
              </w:rPr>
            </w:pPr>
            <w:proofErr w:type="spellStart"/>
            <w:r w:rsidRPr="00795062">
              <w:rPr>
                <w:rFonts w:ascii="Cambria" w:eastAsia="Times New Roman" w:hAnsi="Cambria" w:cs="Calibri"/>
                <w:color w:val="000000"/>
                <w:sz w:val="22"/>
                <w:szCs w:val="22"/>
                <w14:ligatures w14:val="none"/>
              </w:rPr>
              <w:t>Applicant</w:t>
            </w:r>
            <w:proofErr w:type="spellEnd"/>
            <w:r w:rsidRPr="00795062">
              <w:rPr>
                <w:rFonts w:ascii="Cambria" w:eastAsia="Times New Roman" w:hAnsi="Cambria" w:cs="Calibri"/>
                <w:color w:val="000000"/>
                <w:sz w:val="22"/>
                <w:szCs w:val="22"/>
                <w14:ligatures w14:val="none"/>
              </w:rPr>
              <w:t xml:space="preserve"> </w:t>
            </w:r>
            <w:proofErr w:type="spellStart"/>
            <w:r w:rsidRPr="00795062">
              <w:rPr>
                <w:rFonts w:ascii="Cambria" w:eastAsia="Times New Roman" w:hAnsi="Cambria" w:cs="Calibri"/>
                <w:color w:val="000000"/>
                <w:sz w:val="22"/>
                <w:szCs w:val="22"/>
                <w14:ligatures w14:val="none"/>
              </w:rPr>
              <w:t>risks</w:t>
            </w:r>
            <w:proofErr w:type="spellEnd"/>
          </w:p>
        </w:tc>
        <w:tc>
          <w:tcPr>
            <w:tcW w:w="2977" w:type="dxa"/>
            <w:tcBorders>
              <w:top w:val="single" w:sz="4" w:space="0" w:color="auto"/>
              <w:left w:val="nil"/>
              <w:bottom w:val="single" w:sz="4" w:space="0" w:color="auto"/>
              <w:right w:val="single" w:sz="4" w:space="0" w:color="auto"/>
            </w:tcBorders>
            <w:vAlign w:val="center"/>
            <w:hideMark/>
          </w:tcPr>
          <w:p w14:paraId="64F267FF"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Financial and legal risks due to nonrefundable payments, high entry cost, political legal sensitivity and tax consequences</w:t>
            </w:r>
          </w:p>
        </w:tc>
        <w:tc>
          <w:tcPr>
            <w:tcW w:w="3782" w:type="dxa"/>
            <w:tcBorders>
              <w:top w:val="single" w:sz="4" w:space="0" w:color="auto"/>
              <w:left w:val="nil"/>
              <w:bottom w:val="single" w:sz="4" w:space="0" w:color="auto"/>
              <w:right w:val="single" w:sz="4" w:space="0" w:color="auto"/>
            </w:tcBorders>
            <w:vAlign w:val="center"/>
            <w:hideMark/>
          </w:tcPr>
          <w:p w14:paraId="428C7D6D"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Dependence of status on continuing investment activity,</w:t>
            </w:r>
          </w:p>
          <w:p w14:paraId="22B485A2"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possible regulatory changes</w:t>
            </w:r>
          </w:p>
        </w:tc>
        <w:tc>
          <w:tcPr>
            <w:tcW w:w="3330" w:type="dxa"/>
            <w:tcBorders>
              <w:top w:val="single" w:sz="4" w:space="0" w:color="auto"/>
              <w:left w:val="nil"/>
              <w:bottom w:val="single" w:sz="4" w:space="0" w:color="auto"/>
              <w:right w:val="single" w:sz="4" w:space="0" w:color="auto"/>
            </w:tcBorders>
            <w:vAlign w:val="center"/>
            <w:hideMark/>
          </w:tcPr>
          <w:p w14:paraId="027752D3"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Mainly professional and regulatory risks linked to maintaining eligibility grounds, financial risks are limited to standard visa costs</w:t>
            </w:r>
          </w:p>
        </w:tc>
        <w:tc>
          <w:tcPr>
            <w:tcW w:w="2700" w:type="dxa"/>
            <w:tcBorders>
              <w:top w:val="single" w:sz="4" w:space="0" w:color="auto"/>
              <w:left w:val="nil"/>
              <w:bottom w:val="single" w:sz="4" w:space="0" w:color="auto"/>
              <w:right w:val="single" w:sz="4" w:space="0" w:color="auto"/>
            </w:tcBorders>
            <w:vAlign w:val="center"/>
            <w:hideMark/>
          </w:tcPr>
          <w:p w14:paraId="36B11A41" w14:textId="77777777" w:rsidR="00A45035" w:rsidRPr="00795062" w:rsidRDefault="00A45035" w:rsidP="008424E7">
            <w:pPr>
              <w:spacing w:after="0"/>
              <w:jc w:val="center"/>
              <w:rPr>
                <w:rFonts w:ascii="Cambria" w:eastAsia="Times New Roman" w:hAnsi="Cambria" w:cs="Calibri"/>
                <w:color w:val="000000"/>
                <w:sz w:val="22"/>
                <w:szCs w:val="22"/>
                <w:lang w:val="en-US"/>
                <w14:ligatures w14:val="none"/>
              </w:rPr>
            </w:pPr>
            <w:r w:rsidRPr="00795062">
              <w:rPr>
                <w:rFonts w:ascii="Cambria" w:eastAsia="Times New Roman" w:hAnsi="Cambria" w:cs="Calibri"/>
                <w:color w:val="000000"/>
                <w:sz w:val="22"/>
                <w:szCs w:val="22"/>
                <w:lang w:val="en-US"/>
                <w14:ligatures w14:val="none"/>
              </w:rPr>
              <w:t>Main risks relate to high entry cost of nonrefundable payment and dependence on sub regulatory administrative practice</w:t>
            </w:r>
          </w:p>
        </w:tc>
      </w:tr>
    </w:tbl>
    <w:p w14:paraId="469223AE" w14:textId="77777777" w:rsidR="00B15CC9" w:rsidRPr="00795062" w:rsidRDefault="00B15CC9">
      <w:pPr>
        <w:rPr>
          <w:rFonts w:ascii="Cambria" w:hAnsi="Cambria"/>
          <w:sz w:val="22"/>
          <w:szCs w:val="22"/>
          <w:lang w:val="en-US"/>
        </w:rPr>
      </w:pPr>
    </w:p>
    <w:sectPr w:rsidR="00B15CC9" w:rsidRPr="00795062" w:rsidSect="00375215">
      <w:pgSz w:w="16838" w:h="11906" w:orient="landscape"/>
      <w:pgMar w:top="1699" w:right="1138" w:bottom="850" w:left="113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3EE7"/>
    <w:multiLevelType w:val="hybridMultilevel"/>
    <w:tmpl w:val="D60ABB72"/>
    <w:lvl w:ilvl="0" w:tplc="041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A2E2597"/>
    <w:multiLevelType w:val="hybridMultilevel"/>
    <w:tmpl w:val="A328B762"/>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15:restartNumberingAfterBreak="0">
    <w:nsid w:val="0D0F316B"/>
    <w:multiLevelType w:val="hybridMultilevel"/>
    <w:tmpl w:val="7EC6FF88"/>
    <w:lvl w:ilvl="0" w:tplc="BEB837C0">
      <w:start w:val="1"/>
      <w:numFmt w:val="upperRoman"/>
      <w:lvlText w:val="%1."/>
      <w:lvlJc w:val="right"/>
      <w:pPr>
        <w:ind w:left="720" w:hanging="360"/>
      </w:pPr>
      <w:rPr>
        <w:b/>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F04D6"/>
    <w:multiLevelType w:val="hybridMultilevel"/>
    <w:tmpl w:val="48507A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5200F01"/>
    <w:multiLevelType w:val="hybridMultilevel"/>
    <w:tmpl w:val="E904DAB4"/>
    <w:lvl w:ilvl="0" w:tplc="CF0ECFA4">
      <w:start w:val="1"/>
      <w:numFmt w:val="lowerRoman"/>
      <w:lvlText w:val="%1."/>
      <w:lvlJc w:val="righ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EF5DE8"/>
    <w:multiLevelType w:val="hybridMultilevel"/>
    <w:tmpl w:val="EDD215D2"/>
    <w:lvl w:ilvl="0" w:tplc="55F043E6">
      <w:start w:val="1"/>
      <w:numFmt w:val="upperRoman"/>
      <w:lvlText w:val="%1."/>
      <w:lvlJc w:val="right"/>
      <w:pPr>
        <w:ind w:left="720" w:hanging="360"/>
      </w:pPr>
      <w:rPr>
        <w:b/>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AB58E3"/>
    <w:multiLevelType w:val="hybridMultilevel"/>
    <w:tmpl w:val="89700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635DDF"/>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5121110">
    <w:abstractNumId w:val="6"/>
  </w:num>
  <w:num w:numId="2" w16cid:durableId="1418744061">
    <w:abstractNumId w:val="4"/>
  </w:num>
  <w:num w:numId="3" w16cid:durableId="397754535">
    <w:abstractNumId w:val="1"/>
  </w:num>
  <w:num w:numId="4" w16cid:durableId="949359930">
    <w:abstractNumId w:val="7"/>
  </w:num>
  <w:num w:numId="5" w16cid:durableId="473109603">
    <w:abstractNumId w:val="5"/>
  </w:num>
  <w:num w:numId="6" w16cid:durableId="534804754">
    <w:abstractNumId w:val="2"/>
  </w:num>
  <w:num w:numId="7" w16cid:durableId="165365540">
    <w:abstractNumId w:val="0"/>
  </w:num>
  <w:num w:numId="8" w16cid:durableId="2070108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15"/>
    <w:rsid w:val="00087CF8"/>
    <w:rsid w:val="000D6659"/>
    <w:rsid w:val="00117D2D"/>
    <w:rsid w:val="001544EC"/>
    <w:rsid w:val="002551B2"/>
    <w:rsid w:val="003205AA"/>
    <w:rsid w:val="003371E6"/>
    <w:rsid w:val="00375215"/>
    <w:rsid w:val="00446BFD"/>
    <w:rsid w:val="00506B65"/>
    <w:rsid w:val="005A6E68"/>
    <w:rsid w:val="005B6F49"/>
    <w:rsid w:val="005E306E"/>
    <w:rsid w:val="005F17A7"/>
    <w:rsid w:val="00737559"/>
    <w:rsid w:val="00795062"/>
    <w:rsid w:val="007D1A8B"/>
    <w:rsid w:val="00823AB1"/>
    <w:rsid w:val="008F42AF"/>
    <w:rsid w:val="009451BB"/>
    <w:rsid w:val="00A45035"/>
    <w:rsid w:val="00A51AA7"/>
    <w:rsid w:val="00B15CC9"/>
    <w:rsid w:val="00B8354C"/>
    <w:rsid w:val="00B9207B"/>
    <w:rsid w:val="00BC6A6E"/>
    <w:rsid w:val="00C2609B"/>
    <w:rsid w:val="00C319E0"/>
    <w:rsid w:val="00C9781A"/>
    <w:rsid w:val="00CA109F"/>
    <w:rsid w:val="00D309BD"/>
    <w:rsid w:val="00DD03E6"/>
    <w:rsid w:val="00DE40C4"/>
    <w:rsid w:val="00E630AB"/>
    <w:rsid w:val="00E86A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5686"/>
  <w15:chartTrackingRefBased/>
  <w15:docId w15:val="{9D910C37-4E2A-4B8D-8394-699B3DDE8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5215"/>
  </w:style>
  <w:style w:type="paragraph" w:styleId="1">
    <w:name w:val="heading 1"/>
    <w:basedOn w:val="a"/>
    <w:next w:val="a"/>
    <w:link w:val="10"/>
    <w:uiPriority w:val="9"/>
    <w:qFormat/>
    <w:rsid w:val="00375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75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7521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7521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7521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752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52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52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52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521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7521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7521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7521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7521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752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75215"/>
    <w:rPr>
      <w:rFonts w:eastAsiaTheme="majorEastAsia" w:cstheme="majorBidi"/>
      <w:color w:val="595959" w:themeColor="text1" w:themeTint="A6"/>
    </w:rPr>
  </w:style>
  <w:style w:type="character" w:customStyle="1" w:styleId="80">
    <w:name w:val="Заголовок 8 Знак"/>
    <w:basedOn w:val="a0"/>
    <w:link w:val="8"/>
    <w:uiPriority w:val="9"/>
    <w:semiHidden/>
    <w:rsid w:val="003752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75215"/>
    <w:rPr>
      <w:rFonts w:eastAsiaTheme="majorEastAsia" w:cstheme="majorBidi"/>
      <w:color w:val="272727" w:themeColor="text1" w:themeTint="D8"/>
    </w:rPr>
  </w:style>
  <w:style w:type="paragraph" w:styleId="a3">
    <w:name w:val="Title"/>
    <w:basedOn w:val="a"/>
    <w:next w:val="a"/>
    <w:link w:val="a4"/>
    <w:uiPriority w:val="10"/>
    <w:qFormat/>
    <w:rsid w:val="00375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52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52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752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75215"/>
    <w:pPr>
      <w:spacing w:before="160"/>
      <w:jc w:val="center"/>
    </w:pPr>
    <w:rPr>
      <w:i/>
      <w:iCs/>
      <w:color w:val="404040" w:themeColor="text1" w:themeTint="BF"/>
    </w:rPr>
  </w:style>
  <w:style w:type="character" w:customStyle="1" w:styleId="22">
    <w:name w:val="Цитата 2 Знак"/>
    <w:basedOn w:val="a0"/>
    <w:link w:val="21"/>
    <w:uiPriority w:val="29"/>
    <w:rsid w:val="00375215"/>
    <w:rPr>
      <w:i/>
      <w:iCs/>
      <w:color w:val="404040" w:themeColor="text1" w:themeTint="BF"/>
    </w:rPr>
  </w:style>
  <w:style w:type="paragraph" w:styleId="a7">
    <w:name w:val="List Paragraph"/>
    <w:basedOn w:val="a"/>
    <w:uiPriority w:val="34"/>
    <w:qFormat/>
    <w:rsid w:val="00375215"/>
    <w:pPr>
      <w:ind w:left="720"/>
      <w:contextualSpacing/>
    </w:pPr>
  </w:style>
  <w:style w:type="character" w:styleId="a8">
    <w:name w:val="Intense Emphasis"/>
    <w:basedOn w:val="a0"/>
    <w:uiPriority w:val="21"/>
    <w:qFormat/>
    <w:rsid w:val="00375215"/>
    <w:rPr>
      <w:i/>
      <w:iCs/>
      <w:color w:val="2F5496" w:themeColor="accent1" w:themeShade="BF"/>
    </w:rPr>
  </w:style>
  <w:style w:type="paragraph" w:styleId="a9">
    <w:name w:val="Intense Quote"/>
    <w:basedOn w:val="a"/>
    <w:next w:val="a"/>
    <w:link w:val="aa"/>
    <w:uiPriority w:val="30"/>
    <w:qFormat/>
    <w:rsid w:val="00375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75215"/>
    <w:rPr>
      <w:i/>
      <w:iCs/>
      <w:color w:val="2F5496" w:themeColor="accent1" w:themeShade="BF"/>
    </w:rPr>
  </w:style>
  <w:style w:type="character" w:styleId="ab">
    <w:name w:val="Intense Reference"/>
    <w:basedOn w:val="a0"/>
    <w:uiPriority w:val="32"/>
    <w:qFormat/>
    <w:rsid w:val="003752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2438</Words>
  <Characters>13902</Characters>
  <Application>Microsoft Office Word</Application>
  <DocSecurity>0</DocSecurity>
  <Lines>115</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Baxodir Ergashev</dc:creator>
  <cp:keywords/>
  <dc:description/>
  <cp:lastModifiedBy>Islom Ismoilov</cp:lastModifiedBy>
  <cp:revision>2</cp:revision>
  <dcterms:created xsi:type="dcterms:W3CDTF">2025-12-15T10:55:00Z</dcterms:created>
  <dcterms:modified xsi:type="dcterms:W3CDTF">2025-12-15T10:55:00Z</dcterms:modified>
</cp:coreProperties>
</file>