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4"/>
        <w:gridCol w:w="2828"/>
        <w:gridCol w:w="4390"/>
        <w:gridCol w:w="1746"/>
        <w:gridCol w:w="2792"/>
      </w:tblGrid>
      <w:tr w:rsidR="00201F5E" w:rsidRPr="00201F5E" w:rsidTr="00713345">
        <w:tc>
          <w:tcPr>
            <w:tcW w:w="2704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bookmarkStart w:id="0" w:name="_GoBack" w:colFirst="2" w:colLast="2"/>
            <w:r w:rsidRPr="00CF674E">
              <w:rPr>
                <w:rFonts w:ascii="Arial" w:hAnsi="Arial" w:cs="Arial"/>
                <w:b/>
                <w:color w:val="000000" w:themeColor="text1"/>
              </w:rPr>
              <w:t>термин</w:t>
            </w:r>
          </w:p>
        </w:tc>
        <w:tc>
          <w:tcPr>
            <w:tcW w:w="2871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Этимология термина</w:t>
            </w:r>
          </w:p>
        </w:tc>
        <w:tc>
          <w:tcPr>
            <w:tcW w:w="4481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Современное-научное определение</w:t>
            </w:r>
          </w:p>
        </w:tc>
        <w:tc>
          <w:tcPr>
            <w:tcW w:w="1470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Актуальность</w:t>
            </w:r>
          </w:p>
        </w:tc>
        <w:tc>
          <w:tcPr>
            <w:tcW w:w="3034" w:type="dxa"/>
          </w:tcPr>
          <w:p w:rsidR="00EB17C3" w:rsidRPr="00CF674E" w:rsidRDefault="00EB17C3" w:rsidP="00CF674E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Собственное</w:t>
            </w:r>
            <w:r w:rsidR="00CF674E" w:rsidRPr="00CF674E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</w:t>
            </w:r>
          </w:p>
        </w:tc>
      </w:tr>
      <w:tr w:rsidR="00201F5E" w:rsidRPr="00201F5E" w:rsidTr="00713345">
        <w:tc>
          <w:tcPr>
            <w:tcW w:w="2704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Законодательные органы власти</w:t>
            </w:r>
          </w:p>
        </w:tc>
        <w:tc>
          <w:tcPr>
            <w:tcW w:w="2871" w:type="dxa"/>
          </w:tcPr>
          <w:p w:rsidR="00EB17C3" w:rsidRPr="00201F5E" w:rsidRDefault="00EB17C3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Закон – давать</w:t>
            </w:r>
          </w:p>
          <w:p w:rsidR="00EB17C3" w:rsidRPr="00201F5E" w:rsidRDefault="00EB17C3" w:rsidP="00557D6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О́рган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(др. -греч.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ὄργ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ανον — «инструмент»)</w:t>
            </w:r>
          </w:p>
          <w:p w:rsidR="00EB17C3" w:rsidRPr="00201F5E" w:rsidRDefault="00EB17C3" w:rsidP="00713345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Древнерусское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законъ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Старославянское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(начало, обычай, традиция). Под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законом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понимают либо «общеизвестные нормы поведения, установленные государством и обязательные для всех граждан страны»; </w:t>
            </w:r>
          </w:p>
        </w:tc>
        <w:tc>
          <w:tcPr>
            <w:tcW w:w="4481" w:type="dxa"/>
          </w:tcPr>
          <w:p w:rsidR="00EB17C3" w:rsidRPr="00201F5E" w:rsidRDefault="00EB17C3" w:rsidP="003721E4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представлены высшим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законодательным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органом: Федеральным Собранием, который состоит из двух палат: Государственной Думы и Совета Федерации. Властные полномочия осуществляет путём принятия законов, обязательных для всех на территории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России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470" w:type="dxa"/>
          </w:tcPr>
          <w:p w:rsidR="00EB17C3" w:rsidRPr="00201F5E" w:rsidRDefault="003E4F31" w:rsidP="00511A0E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актуально </w:t>
            </w:r>
            <w:r w:rsidR="00511A0E"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для их 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влияния на развитие правового государства.</w:t>
            </w:r>
          </w:p>
        </w:tc>
        <w:tc>
          <w:tcPr>
            <w:tcW w:w="3034" w:type="dxa"/>
          </w:tcPr>
          <w:p w:rsidR="00EB17C3" w:rsidRPr="00201F5E" w:rsidRDefault="00EB17C3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Субъект, следящий за актуальностью, точностью законов, создающий при необходимости новые законы и корректирующий существующие</w:t>
            </w:r>
          </w:p>
        </w:tc>
      </w:tr>
      <w:tr w:rsidR="00201F5E" w:rsidRPr="00201F5E" w:rsidTr="00713345">
        <w:tc>
          <w:tcPr>
            <w:tcW w:w="2704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Законотворчество</w:t>
            </w:r>
          </w:p>
        </w:tc>
        <w:tc>
          <w:tcPr>
            <w:tcW w:w="287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Древнерусское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законъ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Старославянское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(начало, обычай, традиция). Под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законом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понимают либо «общеизвестные нормы поведения, установленные государством и обязательные для всех граждан страны»;</w:t>
            </w:r>
          </w:p>
        </w:tc>
        <w:tc>
          <w:tcPr>
            <w:tcW w:w="4481" w:type="dxa"/>
          </w:tcPr>
          <w:p w:rsidR="00EB17C3" w:rsidRPr="00201F5E" w:rsidRDefault="003E4F31" w:rsidP="00557D6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Законотворческая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деятельность (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законотворчество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) является частью законодательной деятельности и является объектом изучения юриспруденции. Законотворческий процесс -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это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совокупность согласованных действий компетентных лиц по формированию текста законопроекта на определенной стадии законодательного процесса.</w:t>
            </w:r>
          </w:p>
          <w:p w:rsidR="00F72F83" w:rsidRPr="00201F5E" w:rsidRDefault="00F72F83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Законотворчество, т.е. деятельность по созданию и принятию законов, является особым видом правотворчества и относится к компетенции законодательных органов власти.</w:t>
            </w:r>
          </w:p>
        </w:tc>
        <w:tc>
          <w:tcPr>
            <w:tcW w:w="1470" w:type="dxa"/>
          </w:tcPr>
          <w:p w:rsidR="00EB17C3" w:rsidRPr="00201F5E" w:rsidRDefault="00511A0E" w:rsidP="00511A0E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 для его влияния на развитие правового государства.</w:t>
            </w:r>
          </w:p>
        </w:tc>
        <w:tc>
          <w:tcPr>
            <w:tcW w:w="3034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Работа, связанная с составлением текста для закона</w:t>
            </w:r>
          </w:p>
        </w:tc>
      </w:tr>
      <w:bookmarkEnd w:id="0"/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  <w:r w:rsidRPr="00201F5E">
        <w:rPr>
          <w:rFonts w:ascii="Arial" w:hAnsi="Arial" w:cs="Arial"/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4"/>
        <w:gridCol w:w="2790"/>
        <w:gridCol w:w="4815"/>
        <w:gridCol w:w="1511"/>
        <w:gridCol w:w="2710"/>
      </w:tblGrid>
      <w:tr w:rsidR="00201F5E" w:rsidRPr="00201F5E" w:rsidTr="00713345">
        <w:tc>
          <w:tcPr>
            <w:tcW w:w="2704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Законодательная инициатива</w:t>
            </w:r>
          </w:p>
        </w:tc>
        <w:tc>
          <w:tcPr>
            <w:tcW w:w="287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Древнерусское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законъ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Старославянское —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конъ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(начало, обычай, традиция). Под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законом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понимают либо «общеизвестные нормы поведения, установленные государством и обязательные для всех граждан страны»;</w:t>
            </w:r>
          </w:p>
        </w:tc>
        <w:tc>
          <w:tcPr>
            <w:tcW w:w="4251" w:type="dxa"/>
          </w:tcPr>
          <w:p w:rsidR="00EB17C3" w:rsidRPr="00201F5E" w:rsidRDefault="003721E4" w:rsidP="003721E4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стадия </w:t>
            </w:r>
            <w:hyperlink r:id="rId6" w:tooltip="Законодательный процесс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законодательного процесса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состоящая в вынесении на рассмотрение органом </w:t>
            </w:r>
            <w:hyperlink r:id="rId7" w:tooltip="Законодательная власть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законодательной власти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hyperlink r:id="rId8" w:tooltip="Законопроект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законопроекта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или </w:t>
            </w:r>
            <w:hyperlink r:id="rId9" w:tooltip="Законодательное предложение (страница отсутствует)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законодательного предложения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по принятию, изменению или отмене </w:t>
            </w:r>
            <w:hyperlink r:id="rId10" w:tooltip="Закон (право)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закона</w:t>
              </w:r>
            </w:hyperlink>
            <w:hyperlink r:id="rId11" w:anchor="cite_note-%D0%AD-1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  <w:vertAlign w:val="superscript"/>
                </w:rPr>
                <w:t>[1]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. Круг лиц, обладающих правом законодательной инициативы, определяется национальным законодательством, при этом внесение предложения в законодательное учреждение таковым субъектом влечёт за собой обязанность рассмотреть данное предложение в соответствии с </w:t>
            </w:r>
            <w:hyperlink r:id="rId12" w:tooltip="Парламентская процедура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установленной процедурой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700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034" w:type="dxa"/>
          </w:tcPr>
          <w:p w:rsidR="00EB17C3" w:rsidRPr="00201F5E" w:rsidRDefault="00511A0E" w:rsidP="00511A0E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Начальное звено законодательного процесса, так как «рождение» закона всегда связано с проявлением творческой инициативы субъектов права законодательной инициативы. Ведь прежде чем выразить закон нормативно, ему необходимо дать социологическое обоснование, вывести его из запросов общественной жизни.</w:t>
            </w:r>
          </w:p>
        </w:tc>
      </w:tr>
      <w:tr w:rsidR="005826CD" w:rsidRPr="00201F5E" w:rsidTr="00713345">
        <w:tc>
          <w:tcPr>
            <w:tcW w:w="2704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Субъекты права, наделенные полномочиями законодательной инициативы</w:t>
            </w:r>
          </w:p>
        </w:tc>
        <w:tc>
          <w:tcPr>
            <w:tcW w:w="2871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251" w:type="dxa"/>
          </w:tcPr>
          <w:p w:rsidR="00EB17C3" w:rsidRPr="00201F5E" w:rsidRDefault="00603082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члены </w:t>
            </w:r>
            <w:hyperlink r:id="rId13" w:tooltip="Парламент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парламента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и </w:t>
            </w:r>
            <w:hyperlink r:id="rId14" w:tooltip="Правительство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правительство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однако, в зависимости от принятых в отдельно взятом государстве норм, это их право может быть ограничено. </w:t>
            </w:r>
            <w:hyperlink r:id="rId15" w:tooltip="Глава государства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Глава государства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 также может быть наделён этим правом. В ряде стран с законодательной инициативой могут выступать самостоятельные группы граждан. В этом случае закон определяет минимальную численность инициативной группы и особую процедуру прохождения предложенного проекта. Лица, не обладающие указанным правом, также могут осуществлять законодательную инициативу, но опосредованно, </w:t>
            </w:r>
            <w:proofErr w:type="gram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через субъектов</w:t>
            </w:r>
            <w:proofErr w:type="gram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которым оно гарантировано законом. Законодательная инициатива может являться средством политической борьбы и </w:t>
            </w:r>
            <w:hyperlink r:id="rId16" w:tooltip="Лоббизм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лоббизма</w:t>
              </w:r>
            </w:hyperlink>
          </w:p>
        </w:tc>
        <w:tc>
          <w:tcPr>
            <w:tcW w:w="1700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034" w:type="dxa"/>
          </w:tcPr>
          <w:p w:rsidR="00EB17C3" w:rsidRPr="00201F5E" w:rsidRDefault="005826CD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Субъекты, которым разрешено изменять/создавать законы</w:t>
            </w:r>
          </w:p>
        </w:tc>
      </w:tr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</w:p>
    <w:tbl>
      <w:tblPr>
        <w:tblStyle w:val="a3"/>
        <w:tblW w:w="15274" w:type="dxa"/>
        <w:tblLook w:val="04A0" w:firstRow="1" w:lastRow="0" w:firstColumn="1" w:lastColumn="0" w:noHBand="0" w:noVBand="1"/>
      </w:tblPr>
      <w:tblGrid>
        <w:gridCol w:w="3129"/>
        <w:gridCol w:w="2980"/>
        <w:gridCol w:w="4134"/>
        <w:gridCol w:w="1749"/>
        <w:gridCol w:w="3282"/>
      </w:tblGrid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Правоохранительная деятельность</w:t>
            </w:r>
          </w:p>
        </w:tc>
        <w:tc>
          <w:tcPr>
            <w:tcW w:w="3105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134" w:type="dxa"/>
          </w:tcPr>
          <w:p w:rsidR="00EB17C3" w:rsidRPr="00201F5E" w:rsidRDefault="00603082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вид государственной деятельности, которая осуществляется с целью охраны права специально уполномоченными органами путём применения юридических мер воздействия в строгом соответствии с законом и при неуклонном соблюдении установленного им порядка</w:t>
            </w:r>
          </w:p>
        </w:tc>
        <w:tc>
          <w:tcPr>
            <w:tcW w:w="183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713345" w:rsidP="00713345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деятельность, которая осуществляется с целью охраны права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Правозащитная деятельность</w:t>
            </w:r>
          </w:p>
        </w:tc>
        <w:tc>
          <w:tcPr>
            <w:tcW w:w="3105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134" w:type="dxa"/>
          </w:tcPr>
          <w:p w:rsidR="00EB17C3" w:rsidRPr="00201F5E" w:rsidRDefault="00603082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систематическая работа различных субъектов </w:t>
            </w: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правозащитной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структуры России (публичных - государственных и муниципальных органов, и непубличных - институтов гражданского общества), направленная на восстановление нарушенных прав и свобод человека и гражданина.</w:t>
            </w:r>
          </w:p>
        </w:tc>
        <w:tc>
          <w:tcPr>
            <w:tcW w:w="183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713345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 xml:space="preserve">Деятельность, направленная 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на восстановление нарушенных прав и свобод человека и гражданина.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color w:val="000000" w:themeColor="text1"/>
              </w:rPr>
              <w:t>Правоприменение</w:t>
            </w:r>
            <w:proofErr w:type="spellEnd"/>
          </w:p>
        </w:tc>
        <w:tc>
          <w:tcPr>
            <w:tcW w:w="3105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134" w:type="dxa"/>
          </w:tcPr>
          <w:p w:rsidR="00EB17C3" w:rsidRPr="00201F5E" w:rsidRDefault="00603082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осуществление правовых норм в правоотношениях и воздействие на обязанных лиц в этих отношениях, посредством юридически значимых действий граждан и общественных организаций.</w:t>
            </w:r>
          </w:p>
        </w:tc>
        <w:tc>
          <w:tcPr>
            <w:tcW w:w="1831" w:type="dxa"/>
          </w:tcPr>
          <w:p w:rsidR="00EB17C3" w:rsidRPr="00201F5E" w:rsidRDefault="00713345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713345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Применять </w:t>
            </w:r>
            <w:hyperlink r:id="rId17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hd w:val="clear" w:color="auto" w:fill="FFFFFF"/>
                </w:rPr>
                <w:t>нормы права</w:t>
              </w:r>
            </w:hyperlink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 - это значит применять власть, а нередко - принуждение, санкции, наказание. 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Правоприменение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осуществляют только специальные субъекты.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Правотворчество</w:t>
            </w:r>
          </w:p>
        </w:tc>
        <w:tc>
          <w:tcPr>
            <w:tcW w:w="3105" w:type="dxa"/>
          </w:tcPr>
          <w:p w:rsidR="00EB17C3" w:rsidRPr="00201F5E" w:rsidRDefault="005826CD" w:rsidP="00557D6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</w:tc>
        <w:tc>
          <w:tcPr>
            <w:tcW w:w="4134" w:type="dxa"/>
          </w:tcPr>
          <w:p w:rsidR="00EB17C3" w:rsidRPr="00201F5E" w:rsidRDefault="00F72F83" w:rsidP="00557D6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Э</w:t>
            </w:r>
            <w:r w:rsidR="00603082"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то действия уполномоченных органов по подготовке, принятию, изменению и отмене нормативных правовых актов; завершающая часть процесса </w:t>
            </w:r>
            <w:proofErr w:type="spellStart"/>
            <w:r w:rsidR="00603082"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правообразования</w:t>
            </w:r>
            <w:proofErr w:type="spellEnd"/>
            <w:r w:rsidR="00603082"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:rsidR="00F72F83" w:rsidRPr="00201F5E" w:rsidRDefault="00F72F83" w:rsidP="00557D68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 xml:space="preserve">Правотворчество характеризует деятельность всех органов государства в области создания правовых актов, которые на это уполномочены, т.е. органов </w:t>
            </w: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законодательной, исполнительной, судебной властей, органов местного самоуправления.</w:t>
            </w:r>
          </w:p>
        </w:tc>
        <w:tc>
          <w:tcPr>
            <w:tcW w:w="1831" w:type="dxa"/>
          </w:tcPr>
          <w:p w:rsidR="00EB17C3" w:rsidRPr="00201F5E" w:rsidRDefault="00713345" w:rsidP="00713345">
            <w:pPr>
              <w:ind w:left="122"/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>актуально</w:t>
            </w:r>
          </w:p>
        </w:tc>
        <w:tc>
          <w:tcPr>
            <w:tcW w:w="3282" w:type="dxa"/>
          </w:tcPr>
          <w:p w:rsidR="005826CD" w:rsidRPr="00201F5E" w:rsidRDefault="005826CD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Действия по редактированию/</w:t>
            </w:r>
          </w:p>
          <w:p w:rsidR="005826CD" w:rsidRPr="00201F5E" w:rsidRDefault="005826CD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Созданию/</w:t>
            </w:r>
          </w:p>
          <w:p w:rsidR="005826CD" w:rsidRPr="00201F5E" w:rsidRDefault="005826CD" w:rsidP="005826CD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Удалению законов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Правовое просвещение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CF674E" w:rsidP="005826CD">
            <w:pPr>
              <w:shd w:val="clear" w:color="auto" w:fill="FFFFFF"/>
              <w:spacing w:before="100" w:beforeAutospacing="1" w:after="24"/>
              <w:ind w:left="24"/>
              <w:rPr>
                <w:rFonts w:ascii="Arial" w:hAnsi="Arial" w:cs="Arial"/>
                <w:color w:val="000000" w:themeColor="text1"/>
              </w:rPr>
            </w:pPr>
            <w:hyperlink r:id="rId18" w:history="1">
              <w:r w:rsidR="005826CD" w:rsidRPr="00201F5E">
                <w:rPr>
                  <w:rStyle w:val="a6"/>
                  <w:rFonts w:ascii="Arial" w:hAnsi="Arial" w:cs="Arial"/>
                  <w:b/>
                  <w:bCs/>
                  <w:color w:val="000000" w:themeColor="text1"/>
                </w:rPr>
                <w:t>Просвещение</w:t>
              </w:r>
            </w:hyperlink>
            <w:r w:rsidR="005826CD" w:rsidRPr="00201F5E">
              <w:rPr>
                <w:rFonts w:ascii="Arial" w:hAnsi="Arial" w:cs="Arial"/>
                <w:color w:val="000000" w:themeColor="text1"/>
              </w:rPr>
              <w:t> — распространение знаний и культуры.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34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целенаправленная деятельность по трансляции правовой культуры, правовых идеалов, правового опыта и механизмов разрешения конфликтов в обществе от одного поколения к другому. Правовое воспитание имеет целью развитие правового сознания человека и в итоге правовой культуры общества в целом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603082" w:rsidP="00603082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способ показать гражданам их права и реальные возможности проявить себя в обществе, государстве, уважая себя и других членов общества, социальные ценности.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br/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Правосознание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С латинского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conscientia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что в буквальном переводе означает «совместное знание». также близкое по смыслу слово совесть.</w:t>
            </w:r>
          </w:p>
        </w:tc>
        <w:tc>
          <w:tcPr>
            <w:tcW w:w="4134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 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это форма общественного и индивидуального сознания, выражающая представления и чувства людей о праве и регулируемом им поведении.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A41CB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совокупность взглядов, идей, представлений, чувств, людей, их объединений, всего общества в целом относительно права и правовых явлений.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Правовая культура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От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colere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, которое имело множество значений: населять, культивировать, возделывать, ухаживать, почитать, покровительствовать</w:t>
            </w:r>
          </w:p>
        </w:tc>
        <w:tc>
          <w:tcPr>
            <w:tcW w:w="4134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общий уровень знаний и объективное отношение общества к праву; совокупность правовых знаний в виде норм, убеждений и установок, создаваемых в процессе жизнедеятельности.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Style w:val="a7"/>
                <w:rFonts w:ascii="Arial" w:hAnsi="Arial" w:cs="Arial"/>
                <w:color w:val="000000" w:themeColor="text1"/>
                <w:shd w:val="clear" w:color="auto" w:fill="FFFFFF"/>
              </w:rPr>
              <w:t>общий уровень знаний и отношение общества к праву.</w:t>
            </w:r>
          </w:p>
        </w:tc>
      </w:tr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  <w:r w:rsidRPr="00201F5E">
        <w:rPr>
          <w:rFonts w:ascii="Arial" w:hAnsi="Arial" w:cs="Arial"/>
          <w:color w:val="000000" w:themeColor="text1"/>
        </w:rPr>
        <w:br w:type="page"/>
      </w:r>
    </w:p>
    <w:tbl>
      <w:tblPr>
        <w:tblStyle w:val="a3"/>
        <w:tblW w:w="15274" w:type="dxa"/>
        <w:tblLook w:val="04A0" w:firstRow="1" w:lastRow="0" w:firstColumn="1" w:lastColumn="0" w:noHBand="0" w:noVBand="1"/>
      </w:tblPr>
      <w:tblGrid>
        <w:gridCol w:w="2922"/>
        <w:gridCol w:w="3105"/>
        <w:gridCol w:w="4134"/>
        <w:gridCol w:w="1831"/>
        <w:gridCol w:w="3282"/>
      </w:tblGrid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Правовой нигилизм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от нем.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Nihilismus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из лат.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nihil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«ничто, ничего», далее из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ne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«не» +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hilum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«безделица, малость»</w:t>
            </w:r>
          </w:p>
        </w:tc>
        <w:tc>
          <w:tcPr>
            <w:tcW w:w="4134" w:type="dxa"/>
          </w:tcPr>
          <w:p w:rsidR="00EB17C3" w:rsidRPr="00201F5E" w:rsidRDefault="00A41CB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отрицание права как социального института и системы правил поведения, как элемента успешного регулирования взаимоотношений между людьми. Такой юридический нигилизм заключается в отрицании законов, что может приводить к противоправным действиям, хаосу и, в целом, тормозить развитие правовой системы и общества.</w:t>
            </w:r>
          </w:p>
        </w:tc>
        <w:tc>
          <w:tcPr>
            <w:tcW w:w="1831" w:type="dxa"/>
          </w:tcPr>
          <w:p w:rsidR="00EB17C3" w:rsidRPr="00201F5E" w:rsidRDefault="0060308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Проблема правового нигилизма является одной из самых актуальных в новейшей России</w:t>
            </w:r>
          </w:p>
        </w:tc>
        <w:tc>
          <w:tcPr>
            <w:tcW w:w="3282" w:type="dxa"/>
          </w:tcPr>
          <w:p w:rsidR="00EB17C3" w:rsidRPr="00201F5E" w:rsidRDefault="00A41CB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Пренебрежение к требованиям законов</w:t>
            </w:r>
          </w:p>
        </w:tc>
      </w:tr>
      <w:tr w:rsidR="00201F5E" w:rsidRPr="00201F5E" w:rsidTr="00713345">
        <w:trPr>
          <w:trHeight w:val="2567"/>
        </w:trPr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color w:val="000000" w:themeColor="text1"/>
              </w:rPr>
              <w:t>Цифровизация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</w:rPr>
              <w:t xml:space="preserve"> права</w:t>
            </w:r>
          </w:p>
        </w:tc>
        <w:tc>
          <w:tcPr>
            <w:tcW w:w="3105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 w:rsidRPr="00201F5E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Пра́во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Общеславянское слово, образованное на основе среднего рода слова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правъ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(правый).</w:t>
            </w:r>
          </w:p>
          <w:p w:rsidR="005826CD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01F5E">
              <w:rPr>
                <w:rFonts w:ascii="Arial" w:hAnsi="Arial" w:cs="Arial"/>
                <w:color w:val="000000" w:themeColor="text1"/>
              </w:rPr>
              <w:t>Цифровизация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- переход на цифровой способ связи, записи и передачи данных с помощью цифровых устройств</w:t>
            </w:r>
          </w:p>
        </w:tc>
        <w:tc>
          <w:tcPr>
            <w:tcW w:w="4134" w:type="dxa"/>
          </w:tcPr>
          <w:p w:rsidR="00EB17C3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Защита цифровых прав и информационная безопасность</w:t>
            </w: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  <w:p w:rsidR="007A1A60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5826CD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 xml:space="preserve">Защита данных в интернете, законы распоряжения личными данными </w:t>
            </w:r>
          </w:p>
        </w:tc>
      </w:tr>
    </w:tbl>
    <w:p w:rsidR="00713345" w:rsidRPr="00201F5E" w:rsidRDefault="00713345">
      <w:pPr>
        <w:rPr>
          <w:rFonts w:ascii="Arial" w:hAnsi="Arial" w:cs="Arial"/>
          <w:color w:val="000000" w:themeColor="text1"/>
        </w:rPr>
      </w:pPr>
      <w:r w:rsidRPr="00201F5E">
        <w:rPr>
          <w:rFonts w:ascii="Arial" w:hAnsi="Arial" w:cs="Arial"/>
          <w:color w:val="000000" w:themeColor="text1"/>
        </w:rPr>
        <w:br w:type="page"/>
      </w:r>
    </w:p>
    <w:tbl>
      <w:tblPr>
        <w:tblStyle w:val="a3"/>
        <w:tblW w:w="15274" w:type="dxa"/>
        <w:tblLook w:val="04A0" w:firstRow="1" w:lastRow="0" w:firstColumn="1" w:lastColumn="0" w:noHBand="0" w:noVBand="1"/>
      </w:tblPr>
      <w:tblGrid>
        <w:gridCol w:w="2912"/>
        <w:gridCol w:w="3242"/>
        <w:gridCol w:w="4073"/>
        <w:gridCol w:w="1811"/>
        <w:gridCol w:w="3236"/>
      </w:tblGrid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lastRenderedPageBreak/>
              <w:t>Юрисдикция</w:t>
            </w:r>
          </w:p>
        </w:tc>
        <w:tc>
          <w:tcPr>
            <w:tcW w:w="3105" w:type="dxa"/>
          </w:tcPr>
          <w:p w:rsidR="00EB17C3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лат.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prūdentia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«правоведение» от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род. п.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«право»</w:t>
            </w:r>
          </w:p>
        </w:tc>
        <w:tc>
          <w:tcPr>
            <w:tcW w:w="4134" w:type="dxa"/>
          </w:tcPr>
          <w:p w:rsidR="00EB17C3" w:rsidRPr="00201F5E" w:rsidRDefault="007A1A60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пределы компетенции того или иного суда либо другого органа государственной власти. В соответствии со сферой применения термину юрисдикция соответствуют следующие понятия: подсудность, то есть разграничение компетенции между судебными органами по рассмотрению дел: в зависимости от их характера;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A41CB2" w:rsidP="00A41CB2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8F8F8"/>
              </w:rPr>
              <w:t>область права, которая определяет полномочия конкретного органа государственной власти</w:t>
            </w:r>
          </w:p>
        </w:tc>
      </w:tr>
      <w:tr w:rsidR="00201F5E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Юриспруденция</w:t>
            </w:r>
          </w:p>
        </w:tc>
        <w:tc>
          <w:tcPr>
            <w:tcW w:w="3105" w:type="dxa"/>
          </w:tcPr>
          <w:p w:rsidR="00EB17C3" w:rsidRPr="00201F5E" w:rsidRDefault="003E4F31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(лат.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prūdentia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«правоведение» от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род. п.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«право» +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prūdentia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«предвидение, знание»)</w:t>
            </w:r>
          </w:p>
          <w:p w:rsidR="003E4F31" w:rsidRPr="00201F5E" w:rsidRDefault="003E4F31" w:rsidP="003E4F31">
            <w:pPr>
              <w:pStyle w:val="a5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01F5E">
              <w:rPr>
                <w:rFonts w:ascii="Arial" w:hAnsi="Arial" w:cs="Arial"/>
                <w:color w:val="000000" w:themeColor="text1"/>
                <w:sz w:val="22"/>
                <w:szCs w:val="22"/>
              </w:rPr>
              <w:t>Элементы юриспруденции возникали по мере развития </w:t>
            </w:r>
            <w:hyperlink r:id="rId19" w:tooltip="Законодательство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z w:val="22"/>
                  <w:szCs w:val="22"/>
                </w:rPr>
                <w:t>законодательства</w:t>
              </w:r>
            </w:hyperlink>
            <w:r w:rsidRPr="00201F5E">
              <w:rPr>
                <w:rFonts w:ascii="Arial" w:hAnsi="Arial" w:cs="Arial"/>
                <w:color w:val="000000" w:themeColor="text1"/>
                <w:sz w:val="22"/>
                <w:szCs w:val="22"/>
              </w:rPr>
              <w:t> и правовой науки: некоторые сведения о </w:t>
            </w:r>
            <w:hyperlink r:id="rId20" w:tooltip="Право" w:history="1">
              <w:r w:rsidRPr="00201F5E">
                <w:rPr>
                  <w:rStyle w:val="a6"/>
                  <w:rFonts w:ascii="Arial" w:hAnsi="Arial" w:cs="Arial"/>
                  <w:color w:val="000000" w:themeColor="text1"/>
                  <w:sz w:val="22"/>
                  <w:szCs w:val="22"/>
                </w:rPr>
                <w:t>праве</w:t>
              </w:r>
            </w:hyperlink>
            <w:r w:rsidRPr="00201F5E">
              <w:rPr>
                <w:rFonts w:ascii="Arial" w:hAnsi="Arial" w:cs="Arial"/>
                <w:color w:val="000000" w:themeColor="text1"/>
                <w:sz w:val="22"/>
                <w:szCs w:val="22"/>
              </w:rPr>
              <w:t> включались в систему общего образования ещё в древности.</w:t>
            </w:r>
          </w:p>
          <w:p w:rsidR="003E4F31" w:rsidRPr="00201F5E" w:rsidRDefault="003E4F31" w:rsidP="003E4F31">
            <w:pPr>
              <w:pStyle w:val="a5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01F5E">
              <w:rPr>
                <w:rFonts w:ascii="Arial" w:hAnsi="Arial" w:cs="Arial"/>
                <w:color w:val="000000" w:themeColor="text1"/>
                <w:sz w:val="22"/>
                <w:szCs w:val="22"/>
              </w:rPr>
              <w:t>Первоначально они сопутствовали религиозным знаниям и философии.</w:t>
            </w:r>
          </w:p>
          <w:p w:rsidR="003E4F31" w:rsidRPr="00201F5E" w:rsidRDefault="003E4F31" w:rsidP="00EB17C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34" w:type="dxa"/>
          </w:tcPr>
          <w:p w:rsidR="00EB17C3" w:rsidRPr="00201F5E" w:rsidRDefault="003E4F31" w:rsidP="003E4F31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наука, изучающая свойства государства и права; совокупность правовых знаний; практическая деятельность юристов и система их подготовки.</w:t>
            </w:r>
            <w:r w:rsidRPr="00201F5E">
              <w:rPr>
                <w:rFonts w:ascii="Arial" w:hAnsi="Arial" w:cs="Arial"/>
                <w:color w:val="000000" w:themeColor="text1"/>
              </w:rPr>
              <w:tab/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A41CB2" w:rsidP="00A41CB2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это правоведение, наука, которая изучает право</w:t>
            </w: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br/>
            </w:r>
          </w:p>
        </w:tc>
      </w:tr>
      <w:tr w:rsidR="005826CD" w:rsidRPr="00201F5E" w:rsidTr="00713345">
        <w:tc>
          <w:tcPr>
            <w:tcW w:w="2922" w:type="dxa"/>
          </w:tcPr>
          <w:p w:rsidR="00EB17C3" w:rsidRPr="00201F5E" w:rsidRDefault="00EB17C3" w:rsidP="00EB17C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Юридическая ответственность</w:t>
            </w:r>
          </w:p>
        </w:tc>
        <w:tc>
          <w:tcPr>
            <w:tcW w:w="3105" w:type="dxa"/>
          </w:tcPr>
          <w:p w:rsidR="00EB17C3" w:rsidRPr="00201F5E" w:rsidRDefault="00511A0E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лат.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jūris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prūdentia</w:t>
            </w:r>
            <w:proofErr w:type="spellEnd"/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«правоведение»</w:t>
            </w:r>
          </w:p>
        </w:tc>
        <w:tc>
          <w:tcPr>
            <w:tcW w:w="4134" w:type="dxa"/>
          </w:tcPr>
          <w:p w:rsidR="00EB17C3" w:rsidRPr="00201F5E" w:rsidRDefault="007A1A60" w:rsidP="00EB17C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применение мер государственного принуждения к виновному лицу за совершение противоправного деяния.</w:t>
            </w:r>
          </w:p>
          <w:p w:rsidR="007A1A60" w:rsidRPr="00201F5E" w:rsidRDefault="007A1A60" w:rsidP="00EB17C3">
            <w:pPr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  <w:t>Административная </w:t>
            </w:r>
          </w:p>
          <w:p w:rsidR="00511A0E" w:rsidRPr="00201F5E" w:rsidRDefault="00511A0E" w:rsidP="00EB17C3">
            <w:pPr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  <w:t>Уголовная</w:t>
            </w:r>
          </w:p>
          <w:p w:rsidR="00511A0E" w:rsidRPr="00201F5E" w:rsidRDefault="00511A0E" w:rsidP="00EB17C3">
            <w:pPr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01F5E"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  <w:t>Дисциплинарная</w:t>
            </w:r>
          </w:p>
          <w:p w:rsidR="00511A0E" w:rsidRPr="00201F5E" w:rsidRDefault="00511A0E" w:rsidP="00511A0E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Style w:val="a8"/>
                <w:rFonts w:ascii="Arial" w:hAnsi="Arial" w:cs="Arial"/>
                <w:color w:val="000000" w:themeColor="text1"/>
                <w:shd w:val="clear" w:color="auto" w:fill="FFFFFF"/>
              </w:rPr>
              <w:t>Гражданско-правовая</w:t>
            </w:r>
          </w:p>
        </w:tc>
        <w:tc>
          <w:tcPr>
            <w:tcW w:w="1831" w:type="dxa"/>
          </w:tcPr>
          <w:p w:rsidR="00EB17C3" w:rsidRPr="00201F5E" w:rsidRDefault="00713345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  <w:shd w:val="clear" w:color="auto" w:fill="FFFFFF"/>
              </w:rPr>
              <w:t>актуально</w:t>
            </w:r>
          </w:p>
        </w:tc>
        <w:tc>
          <w:tcPr>
            <w:tcW w:w="3282" w:type="dxa"/>
          </w:tcPr>
          <w:p w:rsidR="00EB17C3" w:rsidRPr="00201F5E" w:rsidRDefault="00A41CB2" w:rsidP="00EB17C3">
            <w:pPr>
              <w:rPr>
                <w:rFonts w:ascii="Arial" w:hAnsi="Arial" w:cs="Arial"/>
                <w:color w:val="000000" w:themeColor="text1"/>
              </w:rPr>
            </w:pPr>
            <w:r w:rsidRPr="00201F5E">
              <w:rPr>
                <w:rFonts w:ascii="Arial" w:hAnsi="Arial" w:cs="Arial"/>
                <w:color w:val="000000" w:themeColor="text1"/>
              </w:rPr>
              <w:t>Ответственность перед государством за совершение нарушения закона</w:t>
            </w:r>
          </w:p>
        </w:tc>
      </w:tr>
    </w:tbl>
    <w:p w:rsidR="00B13E79" w:rsidRPr="00201F5E" w:rsidRDefault="00B13E79" w:rsidP="00F72F83">
      <w:pPr>
        <w:rPr>
          <w:rFonts w:ascii="Arial" w:hAnsi="Arial" w:cs="Arial"/>
          <w:color w:val="000000" w:themeColor="text1"/>
        </w:rPr>
      </w:pPr>
    </w:p>
    <w:sectPr w:rsidR="00B13E79" w:rsidRPr="00201F5E" w:rsidSect="00EB17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74A8"/>
    <w:multiLevelType w:val="multilevel"/>
    <w:tmpl w:val="22F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F1721"/>
    <w:multiLevelType w:val="hybridMultilevel"/>
    <w:tmpl w:val="85881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3"/>
    <w:rsid w:val="00201F5E"/>
    <w:rsid w:val="003721E4"/>
    <w:rsid w:val="003E4F31"/>
    <w:rsid w:val="00511A0E"/>
    <w:rsid w:val="005826CD"/>
    <w:rsid w:val="00603082"/>
    <w:rsid w:val="00713345"/>
    <w:rsid w:val="007A1A60"/>
    <w:rsid w:val="00902CE2"/>
    <w:rsid w:val="00A41CB2"/>
    <w:rsid w:val="00B13E79"/>
    <w:rsid w:val="00CF674E"/>
    <w:rsid w:val="00EB17C3"/>
    <w:rsid w:val="00F44C25"/>
    <w:rsid w:val="00F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5D43"/>
  <w15:chartTrackingRefBased/>
  <w15:docId w15:val="{D83D46EC-B020-4832-A88C-753F6DB6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7C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E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E4F31"/>
    <w:rPr>
      <w:color w:val="0000FF"/>
      <w:u w:val="single"/>
    </w:rPr>
  </w:style>
  <w:style w:type="character" w:styleId="a7">
    <w:name w:val="Emphasis"/>
    <w:basedOn w:val="a0"/>
    <w:uiPriority w:val="20"/>
    <w:qFormat/>
    <w:rsid w:val="00603082"/>
    <w:rPr>
      <w:i/>
      <w:iCs/>
    </w:rPr>
  </w:style>
  <w:style w:type="character" w:styleId="a8">
    <w:name w:val="Strong"/>
    <w:basedOn w:val="a0"/>
    <w:uiPriority w:val="22"/>
    <w:qFormat/>
    <w:rsid w:val="007A1A60"/>
    <w:rPr>
      <w:b/>
      <w:bCs/>
    </w:rPr>
  </w:style>
  <w:style w:type="character" w:customStyle="1" w:styleId="w">
    <w:name w:val="w"/>
    <w:basedOn w:val="a0"/>
    <w:rsid w:val="00F72F83"/>
  </w:style>
  <w:style w:type="paragraph" w:styleId="a9">
    <w:name w:val="Balloon Text"/>
    <w:basedOn w:val="a"/>
    <w:link w:val="aa"/>
    <w:uiPriority w:val="99"/>
    <w:semiHidden/>
    <w:unhideWhenUsed/>
    <w:rsid w:val="00F44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4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A%D0%BE%D0%BD%D0%BE%D0%BF%D1%80%D0%BE%D0%B5%D0%BA%D1%82" TargetMode="External"/><Relationship Id="rId13" Type="http://schemas.openxmlformats.org/officeDocument/2006/relationships/hyperlink" Target="https://ru.wikipedia.org/wiki/%D0%9F%D0%B0%D1%80%D0%BB%D0%B0%D0%BC%D0%B5%D0%BD%D1%82" TargetMode="External"/><Relationship Id="rId18" Type="http://schemas.openxmlformats.org/officeDocument/2006/relationships/hyperlink" Target="https://ru.wikipedia.org/wiki/%D0%9F%D1%80%D0%BE%D1%81%D0%B2%D0%B5%D1%89%D0%B5%D0%BD%D0%B8%D0%B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7%D0%B0%D0%BA%D0%BE%D0%BD%D0%BE%D0%B4%D0%B0%D1%82%D0%B5%D0%BB%D1%8C%D0%BD%D0%B0%D1%8F_%D0%B2%D0%BB%D0%B0%D1%81%D1%82%D1%8C" TargetMode="External"/><Relationship Id="rId12" Type="http://schemas.openxmlformats.org/officeDocument/2006/relationships/hyperlink" Target="https://ru.wikipedia.org/wiki/%D0%9F%D0%B0%D1%80%D0%BB%D0%B0%D0%BC%D0%B5%D0%BD%D1%82%D1%81%D0%BA%D0%B0%D1%8F_%D0%BF%D1%80%D0%BE%D1%86%D0%B5%D0%B4%D1%83%D1%80%D0%B0" TargetMode="External"/><Relationship Id="rId17" Type="http://schemas.openxmlformats.org/officeDocument/2006/relationships/hyperlink" Target="https://jurkom74.ru/ucheba/norma-pr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B%D0%BE%D0%B1%D0%B1%D0%B8%D0%B7%D0%BC" TargetMode="External"/><Relationship Id="rId20" Type="http://schemas.openxmlformats.org/officeDocument/2006/relationships/hyperlink" Target="https://ru.wikipedia.org/wiki/%D0%9F%D1%80%D0%B0%D0%B2%D0%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0%D0%BA%D0%BE%D0%BD%D0%BE%D0%B4%D0%B0%D1%82%D0%B5%D0%BB%D1%8C%D0%BD%D1%8B%D0%B9_%D0%BF%D1%80%D0%BE%D1%86%D0%B5%D1%81%D1%81" TargetMode="External"/><Relationship Id="rId11" Type="http://schemas.openxmlformats.org/officeDocument/2006/relationships/hyperlink" Target="https://ru.wikipedia.org/wiki/%D0%97%D0%B0%D0%BA%D0%BE%D0%BD%D0%BE%D0%B4%D0%B0%D1%82%D0%B5%D0%BB%D1%8C%D0%BD%D0%B0%D1%8F_%D0%B8%D0%BD%D0%B8%D1%86%D0%B8%D0%B0%D1%82%D0%B8%D0%B2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B%D0%B0%D0%B2%D0%B0_%D0%B3%D0%BE%D1%81%D1%83%D0%B4%D0%B0%D1%80%D1%81%D1%82%D0%B2%D0%B0" TargetMode="External"/><Relationship Id="rId10" Type="http://schemas.openxmlformats.org/officeDocument/2006/relationships/hyperlink" Target="https://ru.wikipedia.org/wiki/%D0%97%D0%B0%D0%BA%D0%BE%D0%BD_(%D0%BF%D1%80%D0%B0%D0%B2%D0%BE)" TargetMode="External"/><Relationship Id="rId19" Type="http://schemas.openxmlformats.org/officeDocument/2006/relationships/hyperlink" Target="https://ru.wikipedia.org/wiki/%D0%97%D0%B0%D0%BA%D0%BE%D0%BD%D0%BE%D0%B4%D0%B0%D1%82%D0%B5%D0%BB%D1%8C%D1%81%D1%82%D0%B2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97%D0%B0%D0%BA%D0%BE%D0%BD%D0%BE%D0%B4%D0%B0%D1%82%D0%B5%D0%BB%D1%8C%D0%BD%D0%BE%D0%B5_%D0%BF%D1%80%D0%B5%D0%B4%D0%BB%D0%BE%D0%B6%D0%B5%D0%BD%D0%B8%D0%B5&amp;action=edit&amp;redlink=1" TargetMode="External"/><Relationship Id="rId14" Type="http://schemas.openxmlformats.org/officeDocument/2006/relationships/hyperlink" Target="https://ru.wikipedia.org/wiki/%D0%9F%D1%80%D0%B0%D0%B2%D0%B8%D1%82%D0%B5%D0%BB%D1%8C%D1%81%D1%82%D0%B2%D0%B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BCF3-E960-4BFB-A37E-748DFC47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2021-02-09T06:10:00Z</cp:lastPrinted>
  <dcterms:created xsi:type="dcterms:W3CDTF">2021-02-08T13:40:00Z</dcterms:created>
  <dcterms:modified xsi:type="dcterms:W3CDTF">2021-02-09T11:51:00Z</dcterms:modified>
</cp:coreProperties>
</file>