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spec_7d7f4505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asdasd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asdasd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11:18:27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asdasd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