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  <w:jc w:val="center"/>
      </w:pPr>
      <w:r>
        <w:rPr>
          <w:rFonts w:ascii="Times New Roman" w:hAnsi="Times New Roman" w:eastAsia="黑体"/>
          <w:b/>
          <w:color w:val="1A7051"/>
          <w:sz w:val="36"/>
        </w:rPr>
        <w:t>系统功能介绍</w:t>
      </w:r>
    </w:p>
    <w:p>
      <w:pPr>
        <w:spacing w:after="320" w:line="336" w:lineRule="auto"/>
        <w:jc w:val="center"/>
      </w:pPr>
      <w:r>
        <w:rPr>
          <w:rFonts w:ascii="Times New Roman" w:hAnsi="Times New Roman" w:eastAsia="楷体"/>
          <w:b w:val="0"/>
          <w:color w:val="595959"/>
          <w:sz w:val="24"/>
        </w:rPr>
        <w:t>—— 基于多源数据与大模型的人才能力图谱平台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5.1.1 账号注册与登录功能（图 5-1）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支持学生、学校、企业三种角色注册登录，前后端双重校验用户名、邮箱、手机号与密码强度；登录后按角色呈现差异化菜单，超级管理员另设独立入口进入图谱运维后台。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Flask 构建认证接口，密码 MD5 加盐哈希后存入 PostgreSQL，杜绝明文存储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登录后签发 Token 令牌，后续请求凭 Token 鉴权，接口无状态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基于 RBAC 模型实现三角色权限隔离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认证、授权与业务解耦，便于水平扩展；三角色体系为学校端就业分析与企业端人才筛选预留扩展空间；表单实时校验显著降低脏数据入库概率。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5.1.2 求职问答功能（图 5-2）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提供对话式职业咨询，解答岗位技能要求、职业规划、面试准备等问题，支持历史对话查询与删除。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主链路：调用扣子（Coze）平台智能体工作流，解析返回结果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备用链路：主链路异常时自动降级，直连阿里云百炼 qwen-plus，以 System Prompt 约束回答风格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双链路互为容错，任一外部服务故障不影响核心体验；智能体工作流支持可视化编排，无需改码即可迭代应答策略；回答锚定系统内真实岗位数据，降低大模型“幻觉”误导风险。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5.1.3 求职市场功能（图 5-3）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浏览企业发布岗位，支持关键词搜索、工作类型与薪资筛选，查看详情并一键投递；系统自动校验 7 天内不可重复投递同一岗位。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接入 Boss 直聘采集的 165 条真实岗位数据，字段覆盖技能、经验、学历、薪资、福利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企业新发布岗位自动进入多源异构数据流水线，驱动图谱增量更新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PostgreSQL 分页查询 + 多条件组合过滤，高频字段建立索引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真实数据驱动保证岗位信息可信度；“新岗位→图谱更新”自动化链路响应了赛题对数据动态性的要求；索引优化使数据量增长后检索性能依然平稳。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5.1.4 能力图谱功能（图 5-4）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选择目标岗位即可查看可视化技能图谱，核心技能与优先技能以节点连线呈现，界面显示当前图谱版本号，支持图谱动态演化管理。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Neo4j 存储 Job、Skill 节点及带 importance 属性的 REQUIRES 关系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Cypher 语句实现邻居查询、关系遍历与子图裁剪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前端 ECharts 力导向图渲染，支持节点拖拽、缩放与点击下钻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图数据库将多层关联查询复杂度降至常数级，天然适配“岗位—技能—共现”深度遍历场景；力导向布局将密集网状数据转化为可读性强的视觉结构，显著降低理解成本。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5.1.5 人岗匹配功能（图 5-5）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输入目标岗位与简历文本，系统输出综合匹配分、五维雷达图、已具备技能与待补齐技能清单，实现细粒度人岗差距诊断。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第一步：大模型从非结构化简历抽取技能、年限、学历等结构化字段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第二步：抽取结果与 Neo4j 图谱能力要求比对，区分必需/优先技能命中情况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第三步：按技能、经验、学历加权算分，环形图+柱状图+雷达图呈现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降级链路：大模型不可用时自动切换图谱技能库关键词匹配与正则抽取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大模型保证文本解析泛化能力，图谱比对确保匹配口径与真实招聘需求一致，加权评分使结果可量化、可解释，为学习路径规划提供精准输入。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5.1.6 趋势分析功能（图 5-6）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提供热门技能排行、技能共现关系、新兴岗位分析三类视图，支持不同时间版本图谱对比，直观呈现技能需求的新增、消退与变迁。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三类统计均由 Cypher 聚合查询在 Neo4j 侧完成（共现频次、技能重叠度算法等）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统计结果之上由大模型生成自然语言趋势解读报告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新兴岗位通过技能重叠度算法识别，辅助新岗位发现与定义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以实时图计算替代人工盘点，克服传统手段的“时滞”问题，使“技术爆发→岗位新技能需求”的动态关联可直接查询与验证；AI 解读让统计数据“会说话”。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5.1.7 简历分析功能（图 5-7）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提交岗位要求与简历后，从岗位匹配度、综合评估、个人亮点、待改进项、面试建议五个维度生成深度诊断报告。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调用阿里云百炼 qwen-plus，通过提示词约束严格按 JSON 格式输出五字段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前端多层解析后以卡片形式渲染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外部服务异常时返回基于模板的兜底报告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结构化输出约束使报告可被程序直接消费；评估结论锚定用户真实输入，有效抑制大模型“幻觉”；五维度报告兼顾能力盘点与行动指引，自然衔接学习资源推荐。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5.1.8 模拟面试功能（图 5-8）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提供 AI 仿真面试练习，按目标岗位依次提问、支持追问，全程音视频录制，还原真实面试交互节奏。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面试问题基于图谱中该岗位的必需与优先技能动态生成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浏览器端 MediaRecorder API 采集音视频，上传服务端存储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录制文件与作答内容关联保存，支持事后回放复盘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以岗位能力图谱为题目来源，避免通用题库“千人一面”；多模态留存形成“练习—回看—改进”闭环；AI 面试官不受时空限制，显著降低模拟面试边际成本。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5.1.9 面试报告功能（图 5-9）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对每次模拟面试量化评估，生成含总分、分项得分与改进建议的报告，支持按时间回溯与音视频回放。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评估结果写入 PostgreSQL 面试记录表，查询接口按用户维度隔离数据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前端图表渲染分数分布与历史趋势，呈现能力成长曲线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将主观面试表现转化为可量化、可追踪的数据资产，通过多次报告纵向对比验证学习路径有效性；标准化评分维度也为学校端掌握学生准备度、企业端预判候选人水平提供数据基础。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color w:val="1A7051"/>
          <w:sz w:val="28"/>
        </w:rPr>
        <w:t>5.1.10 学习资源功能（图 5-10）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功能简介：</w:t>
      </w:r>
      <w:r>
        <w:rPr>
          <w:rFonts w:ascii="Times New Roman" w:hAnsi="Times New Roman" w:eastAsia="宋体"/>
          <w:b w:val="0"/>
          <w:color w:val="333333"/>
          <w:sz w:val="24"/>
        </w:rPr>
        <w:t>内置 400 余篇结构化技术文档（MDN Web 文档、前端框架指南等系列），支持系列浏览、检索、收藏与进度追踪，并依据技能差距智能推荐学习内容。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技术实现：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资源以“系列—文档”两级结构存储于 PostgreSQL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检索基于模糊匹配与分类过滤实现</w:t>
      </w:r>
    </w:p>
    <w:p>
      <w:pPr>
        <w:spacing w:after="40" w:line="336" w:lineRule="auto"/>
        <w:ind w:left="420"/>
      </w:pPr>
      <w:r>
        <w:rPr>
          <w:rFonts w:ascii="Times New Roman" w:hAnsi="Times New Roman" w:eastAsia="宋体"/>
          <w:b w:val="0"/>
          <w:color w:val="595959"/>
          <w:sz w:val="24"/>
        </w:rPr>
        <w:t>● 推荐逻辑将匹配报告中的缺失技能映射至资源标签，按相关度排序输出</w:t>
      </w:r>
    </w:p>
    <w:p>
      <w:pPr>
        <w:spacing w:after="280" w:line="336" w:lineRule="auto"/>
      </w:pPr>
      <w:r>
        <w:rPr>
          <w:rFonts w:ascii="Times New Roman" w:hAnsi="Times New Roman" w:eastAsia="宋体"/>
          <w:b/>
          <w:color w:val="333333"/>
          <w:sz w:val="24"/>
        </w:rPr>
        <w:t>技术优势：</w:t>
      </w:r>
      <w:r>
        <w:rPr>
          <w:rFonts w:ascii="Times New Roman" w:hAnsi="Times New Roman" w:eastAsia="宋体"/>
          <w:b w:val="0"/>
          <w:color w:val="333333"/>
          <w:sz w:val="24"/>
        </w:rPr>
        <w:t>将抽象技能差距转化为具体可执行的学习内容，解决“只诊断、无处方”问题；文本资源体量轻、更新快、零成本，符合低成本可持续运营定位；进度追踪保障学习连贯性，使能力提升建议真正形成行动闭环。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