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 6: Implement User Table in SQL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the movie and user tables in the SQL database, and implement a rating table linking users and movies.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SQL, MySQL command 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Walkthrough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Set up the database connection</w:t>
      </w:r>
      <w:r w:rsidDel="00000000" w:rsidR="00000000" w:rsidRPr="00000000">
        <w:rPr>
          <w:rtl w:val="0"/>
        </w:rPr>
        <w:t xml:space="preserve">: Connect to the SQL database created earlier using MySQL.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up how to import data from a CSV file into MySQL. This may include learning how to use the LOAD DATA INFILE command or similar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user and movie tables</w:t>
      </w:r>
      <w:r w:rsidDel="00000000" w:rsidR="00000000" w:rsidRPr="00000000">
        <w:rPr>
          <w:rtl w:val="0"/>
        </w:rPr>
        <w:t xml:space="preserve">: Write SQL statements to create tables based on the client's data requirements.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Assign appropriate data types and primary keys.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the ratings table</w:t>
      </w:r>
      <w:r w:rsidDel="00000000" w:rsidR="00000000" w:rsidRPr="00000000">
        <w:rPr>
          <w:rtl w:val="0"/>
        </w:rPr>
        <w:t xml:space="preserve">: Use the pre-populated ratings CSV file to link the user and movie tables. Define fields such as user_id, movie_id, rating, and timestamp.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Validate relationships</w:t>
      </w:r>
      <w:r w:rsidDel="00000000" w:rsidR="00000000" w:rsidRPr="00000000">
        <w:rPr>
          <w:rtl w:val="0"/>
        </w:rPr>
        <w:t xml:space="preserve">: Ensure foreign keys reference the correct user and movie tables. Test the tables by adding sample data and querying relationships.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 SQL scripts</w:t>
      </w:r>
      <w:r w:rsidDel="00000000" w:rsidR="00000000" w:rsidRPr="00000000">
        <w:rPr>
          <w:rtl w:val="0"/>
        </w:rPr>
        <w:t xml:space="preserve">: Save SQL statements in a file update on Trello.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SQL scripts for all tables, test queries, validation screenshots/logs.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13">
    <w:pPr>
      <w:spacing w:line="276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TIFC - DA - SAC: Implement User Table in SQL</w:t>
    </w:r>
  </w:p>
  <w:p w:rsidR="00000000" w:rsidDel="00000000" w:rsidP="00000000" w:rsidRDefault="00000000" w:rsidRPr="00000000" w14:paraId="00000010">
    <w:pPr>
      <w:jc w:val="center"/>
      <w:rPr/>
    </w:pPr>
    <w:r w:rsidDel="00000000" w:rsidR="00000000" w:rsidRPr="00000000">
      <w:rPr/>
      <w:drawing>
        <wp:inline distB="0" distT="0" distL="114300" distR="114300">
          <wp:extent cx="1616202" cy="4810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SNgVLU1jcC7jxIRQunBUTojtQ==">CgMxLjA4AHIhMTVycnRHaDBJMmlUMy0xSHNlNVFRQkhnU01sNGtiTWlU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