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Beijing Air Quality Time-Series Pipeline — Group Report</w:t>
      </w:r>
    </w:p>
    <w:p>
      <w:pPr/>
      <w:r>
        <w:t xml:space="preserve">Oct 29, 2026</w:t>
      </w:r>
      <w:r>
        <w:t xml:space="preserve"> · Kyla Ochweri, Nicole Mbera, David Shumbusho, Frank Musiime</w:t>
      </w:r>
    </w:p>
    <w:p>
      <w:pPr>
        <w:pStyle w:val="Heading2"/>
      </w:pPr>
      <w:r>
        <w:t xml:space="preserve">Team and contributions</w:t>
      </w:r>
    </w:p>
    <w:p>
      <w:pPr/>
      <w:r>
        <w:t xml:space="preserve">We built an end-to-end pipeline that forecasts next-hour PM2.5 in Beijing: a cleaned and explored dataset, two databases, a REST API over both, and a script that pulls a live record from the API and predicts with the trained model.</w:t>
      </w:r>
    </w:p>
    <w:tbl>
      <w:tblPr>
        <w:tblStyle w:val="TableGrid"/>
        <w:tblW w:w="0" w:type="auto"/>
        <w:tblLayout w:type="fixed"/>
        <w:tblLook w:val="04A0" w:firstRow="1" w:lastRow="0" w:firstColumn="0" w:lastColumn="0" w:noHBand="0" w:noVBand="1"/>
      </w:tblPr>
      <w:tblGrid>
        <w:gridCol w:w="1430"/>
        <w:gridCol w:w="1676"/>
        <w:gridCol w:w="1780"/>
        <w:gridCol w:w="2602"/>
        <w:gridCol w:w="1872"/>
      </w:tblGrid>
      <w:tr>
        <w:trPr>
          <w:tblHeader/>
        </w:trPr>
        <w:tc>
          <w:tcPr>
            <w:tcW w:w="1430" w:type="dxa"/>
            <w:shd w:val="clear" w:color="auto" w:fill="F2F2F2"/>
          </w:tcPr>
          <w:p>
            <w:pPr/>
            <w:r>
              <w:t xml:space="preserve">Member</w:t>
            </w:r>
          </w:p>
        </w:tc>
        <w:tc>
          <w:tcPr>
            <w:tcW w:w="1676" w:type="dxa"/>
            <w:shd w:val="clear" w:color="auto" w:fill="F2F2F2"/>
          </w:tcPr>
          <w:p>
            <w:pPr/>
            <w:r>
              <w:t xml:space="preserve">GitHub</w:t>
            </w:r>
          </w:p>
        </w:tc>
        <w:tc>
          <w:tcPr>
            <w:tcW w:w="1780" w:type="dxa"/>
            <w:shd w:val="clear" w:color="auto" w:fill="F2F2F2"/>
          </w:tcPr>
          <w:p>
            <w:pPr/>
            <w:r>
              <w:t xml:space="preserve">Task</w:t>
            </w:r>
          </w:p>
        </w:tc>
        <w:tc>
          <w:tcPr>
            <w:tcW w:w="2602" w:type="dxa"/>
            <w:shd w:val="clear" w:color="auto" w:fill="F2F2F2"/>
          </w:tcPr>
          <w:p>
            <w:pPr/>
            <w:r>
              <w:t xml:space="preserve">Main contributions</w:t>
            </w:r>
          </w:p>
        </w:tc>
        <w:tc>
          <w:tcPr>
            <w:tcW w:w="1872" w:type="dxa"/>
            <w:shd w:val="clear" w:color="auto" w:fill="F2F2F2"/>
          </w:tcPr>
          <w:p>
            <w:pPr/>
            <w:r>
              <w:t xml:space="preserve">Location in repository</w:t>
            </w:r>
          </w:p>
        </w:tc>
      </w:tr>
      <w:tr>
        <w:tc>
          <w:tcPr>
            <w:tcW w:w="1430" w:type="dxa"/>
          </w:tcPr>
          <w:p>
            <w:pPr/>
            <w:r>
              <w:t xml:space="preserve">Kyla Ochweri</w:t>
            </w:r>
          </w:p>
        </w:tc>
        <w:tc>
          <w:tcPr>
            <w:tcW w:w="1676" w:type="dxa"/>
          </w:tcPr>
          <w:p>
            <w:pPr/>
            <w:r>
              <w:rPr>
                <w:rStyle w:val="CodeChar"/>
              </w:rPr>
              <w:t xml:space="preserve">kylaochweri</w:t>
            </w:r>
          </w:p>
        </w:tc>
        <w:tc>
          <w:tcPr>
            <w:tcW w:w="1780" w:type="dxa"/>
          </w:tcPr>
          <w:p>
            <w:pPr/>
            <w:r>
              <w:t xml:space="preserve">Task 1: Preprocessing, EDA and model</w:t>
            </w:r>
          </w:p>
        </w:tc>
        <w:tc>
          <w:tcPr>
            <w:tcW w:w="2602" w:type="dxa"/>
          </w:tcPr>
          <w:p>
            <w:pPr/>
            <w:r>
              <w:t xml:space="preserve">Dataset loading and timestamp construction, missing-value analysis, analytical questions and plots, Random Forest model, hyperparameter tuning, experiment table</w:t>
            </w:r>
          </w:p>
        </w:tc>
        <w:tc>
          <w:tcPr>
            <w:tcW w:w="1872" w:type="dxa"/>
          </w:tcPr>
          <w:p>
            <w:pPr/>
            <w:r>
              <w:rPr>
                <w:rStyle w:val="CodeChar"/>
              </w:rPr>
              <w:t xml:space="preserve">notebooks/</w:t>
            </w:r>
          </w:p>
        </w:tc>
      </w:tr>
      <w:tr>
        <w:tc>
          <w:tcPr>
            <w:tcW w:w="1430" w:type="dxa"/>
          </w:tcPr>
          <w:p>
            <w:pPr/>
            <w:r>
              <w:t xml:space="preserve">Nicole Mbera</w:t>
            </w:r>
          </w:p>
        </w:tc>
        <w:tc>
          <w:tcPr>
            <w:tcW w:w="1676" w:type="dxa"/>
          </w:tcPr>
          <w:p>
            <w:pPr/>
            <w:r>
              <w:rPr>
                <w:rStyle w:val="CodeChar"/>
              </w:rPr>
              <w:t xml:space="preserve">NicoleMbera</w:t>
            </w:r>
          </w:p>
        </w:tc>
        <w:tc>
          <w:tcPr>
            <w:tcW w:w="1780" w:type="dxa"/>
          </w:tcPr>
          <w:p>
            <w:pPr/>
            <w:r>
              <w:t xml:space="preserve">Task 2: MySQL and MongoDB</w:t>
            </w:r>
          </w:p>
        </w:tc>
        <w:tc>
          <w:tcPr>
            <w:tcW w:w="2602" w:type="dxa"/>
          </w:tcPr>
          <w:p>
            <w:pPr/>
            <w:r>
              <w:t xml:space="preserve">Three-table relational schema and ERD, MongoDB document design, data loading, five SQL and four MongoDB queries with results</w:t>
            </w:r>
          </w:p>
        </w:tc>
        <w:tc>
          <w:tcPr>
            <w:tcW w:w="1872" w:type="dxa"/>
          </w:tcPr>
          <w:p>
            <w:pPr/>
            <w:r>
              <w:rPr>
                <w:rStyle w:val="CodeChar"/>
              </w:rPr>
              <w:t xml:space="preserve">notebooks/</w:t>
            </w:r>
            <w:r>
              <w:t xml:space="preserve">, </w:t>
            </w:r>
            <w:r>
              <w:rPr>
                <w:rStyle w:val="CodeChar"/>
              </w:rPr>
              <w:t xml:space="preserve">database/schema_mysql.sql</w:t>
            </w:r>
          </w:p>
        </w:tc>
      </w:tr>
      <w:tr>
        <w:tc>
          <w:tcPr>
            <w:tcW w:w="1430" w:type="dxa"/>
          </w:tcPr>
          <w:p>
            <w:pPr/>
            <w:r>
              <w:t xml:space="preserve">David Shumbusho</w:t>
            </w:r>
          </w:p>
        </w:tc>
        <w:tc>
          <w:tcPr>
            <w:tcW w:w="1676" w:type="dxa"/>
          </w:tcPr>
          <w:p>
            <w:pPr/>
            <w:r>
              <w:rPr>
                <w:rStyle w:val="CodeChar"/>
              </w:rPr>
              <w:t xml:space="preserve">Shumbusho43</w:t>
            </w:r>
          </w:p>
        </w:tc>
        <w:tc>
          <w:tcPr>
            <w:tcW w:w="1780" w:type="dxa"/>
          </w:tcPr>
          <w:p>
            <w:pPr/>
            <w:r>
              <w:t xml:space="preserve">Task 3: API development</w:t>
            </w:r>
          </w:p>
        </w:tc>
        <w:tc>
          <w:tcPr>
            <w:tcW w:w="2602" w:type="dxa"/>
          </w:tcPr>
          <w:p>
            <w:pPr/>
            <w:r>
              <w:t xml:space="preserve">FastAPI service with CRUD and time-series endpoints for both databases, data loader, hosted deployment, 26 automated API tests</w:t>
            </w:r>
          </w:p>
        </w:tc>
        <w:tc>
          <w:tcPr>
            <w:tcW w:w="1872" w:type="dxa"/>
          </w:tcPr>
          <w:p>
            <w:pPr/>
            <w:r>
              <w:rPr>
                <w:rStyle w:val="CodeChar"/>
              </w:rPr>
              <w:t xml:space="preserve">api/</w:t>
            </w:r>
            <w:r>
              <w:t xml:space="preserve">, </w:t>
            </w:r>
            <w:r>
              <w:rPr>
                <w:rStyle w:val="CodeChar"/>
              </w:rPr>
              <w:t xml:space="preserve">database/load_data.py</w:t>
            </w:r>
            <w:r>
              <w:t xml:space="preserve">, </w:t>
            </w:r>
            <w:r>
              <w:rPr>
                <w:rStyle w:val="CodeChar"/>
              </w:rPr>
              <w:t xml:space="preserve">tests/test_api.py</w:t>
            </w:r>
          </w:p>
        </w:tc>
      </w:tr>
      <w:tr>
        <w:tc>
          <w:tcPr>
            <w:tcW w:w="1430" w:type="dxa"/>
          </w:tcPr>
          <w:p>
            <w:pPr/>
            <w:r>
              <w:t xml:space="preserve">Frank Musiime</w:t>
            </w:r>
          </w:p>
        </w:tc>
        <w:tc>
          <w:tcPr>
            <w:tcW w:w="1676" w:type="dxa"/>
          </w:tcPr>
          <w:p>
            <w:pPr/>
            <w:r>
              <w:rPr>
                <w:rStyle w:val="CodeChar"/>
              </w:rPr>
              <w:t xml:space="preserve">frankmusiime</w:t>
            </w:r>
          </w:p>
        </w:tc>
        <w:tc>
          <w:tcPr>
            <w:tcW w:w="1780" w:type="dxa"/>
          </w:tcPr>
          <w:p>
            <w:pPr/>
            <w:r>
              <w:t xml:space="preserve">Task 4: Prediction and integration</w:t>
            </w:r>
          </w:p>
        </w:tc>
        <w:tc>
          <w:tcPr>
            <w:tcW w:w="2602" w:type="dxa"/>
          </w:tcPr>
          <w:p>
            <w:pPr/>
            <w:r>
              <w:t xml:space="preserve">Prediction script (API to model), saved model pipeline, 5 prediction tests, README coordination</w:t>
            </w:r>
          </w:p>
        </w:tc>
        <w:tc>
          <w:tcPr>
            <w:tcW w:w="1872" w:type="dxa"/>
          </w:tcPr>
          <w:p>
            <w:pPr/>
            <w:r>
              <w:rPr>
                <w:rStyle w:val="CodeChar"/>
              </w:rPr>
              <w:t xml:space="preserve">prediction/predict.py</w:t>
            </w:r>
            <w:r>
              <w:t xml:space="preserve">, </w:t>
            </w:r>
            <w:r>
              <w:rPr>
                <w:rStyle w:val="CodeChar"/>
              </w:rPr>
              <w:t xml:space="preserve">models/best_rf.joblib</w:t>
            </w:r>
            <w:r>
              <w:t xml:space="preserve">, </w:t>
            </w:r>
            <w:r>
              <w:rPr>
                <w:rStyle w:val="CodeChar"/>
              </w:rPr>
              <w:t xml:space="preserve">tests/test_prediction.py</w:t>
            </w:r>
          </w:p>
        </w:tc>
      </w:tr>
    </w:tbl>
    <w:p>
      <w:pPr>
        <w:pStyle w:val="ListParagraph"/>
        <w:numPr>
          <w:ilvl w:val="0"/>
          <w:numId w:val="2"/>
        </w:numPr>
      </w:pPr>
      <w:r>
        <w:rPr>
          <w:b/>
        </w:rPr>
        <w:t xml:space="preserve">GitHub repository:</w:t>
      </w:r>
      <w:r>
        <w:t xml:space="preserve"> </w:t>
      </w:r>
      <w:hyperlink r:id="rId3" w:history="1">
        <w:r>
          <w:rPr>
            <w:rStyle w:val="Hyperlink"/>
          </w:rPr>
          <w:t xml:space="preserve">github.com/Shumbusho43/Formative1MLPipeline</w:t>
        </w:r>
      </w:hyperlink>
    </w:p>
    <w:p>
      <w:pPr>
        <w:pStyle w:val="ListParagraph"/>
        <w:numPr>
          <w:ilvl w:val="0"/>
          <w:numId w:val="2"/>
        </w:numPr>
      </w:pPr>
      <w:r>
        <w:rPr>
          <w:b/>
        </w:rPr>
        <w:t xml:space="preserve">Live API (Swagger docs):</w:t>
      </w:r>
      <w:r>
        <w:t xml:space="preserve"> </w:t>
      </w:r>
      <w:hyperlink r:id="rId4" w:history="1">
        <w:r>
          <w:rPr>
            <w:rStyle w:val="Hyperlink"/>
          </w:rPr>
          <w:t xml:space="preserve">formative1mlpipeline.onrender.com/docs</w:t>
        </w:r>
      </w:hyperlink>
      <w:r>
        <w:t xml:space="preserve">. It runs on Render's free tier, so the first request after about 15 idle minutes can take up to a minute.</w:t>
      </w:r>
    </w:p>
    <w:p>
      <w:pPr>
        <w:pStyle w:val="Heading2"/>
      </w:pPr>
      <w:r>
        <w:t xml:space="preserve">1. Problem definition and dataset justification</w:t>
      </w:r>
    </w:p>
    <w:p>
      <w:pPr/>
      <w:r>
        <w:rPr>
          <w:b/>
        </w:rPr>
        <w:t xml:space="preserve">Problem.</w:t>
      </w:r>
      <w:r>
        <w:t xml:space="preserve"> Given the pollutant and weather readings at a monitoring station for the current hour, predict the PM2.5 concentration (μg/m³) for the next hour. This is a one-step-ahead time-series regression problem, modelled for the Dongsi station.</w:t>
      </w:r>
    </w:p>
    <w:p>
      <w:pPr/>
      <w:r>
        <w:rPr>
          <w:b/>
        </w:rPr>
        <w:t xml:space="preserve">Why it matters.</w:t>
      </w:r>
      <w:r>
        <w:t xml:space="preserve"> PM2.5 particles (≤ 2.5 μm) reach deep into the lungs and are linked to cardiovascular and respiratory disease. Beijing's levels far exceed health guidelines: every one of the 12 stations averages 66–86 μg/m³, against a WHO 2021 annual guideline of 5 μg/m³. A reliable short-term forecast lets residents, schools and health services act before a pollution spike, for example by limiting outdoor activity or issuing alerts.</w:t>
      </w:r>
    </w:p>
    <w:p>
      <w:pPr/>
      <w:r>
        <w:rPr>
          <w:b/>
        </w:rPr>
        <w:t xml:space="preserve">Dataset.</w:t>
      </w:r>
      <w:r>
        <w:t xml:space="preserve"> We used the </w:t>
      </w:r>
      <w:hyperlink r:id="rId5" w:history="1">
        <w:r>
          <w:rPr>
            <w:rStyle w:val="Hyperlink"/>
          </w:rPr>
          <w:t xml:space="preserve">Beijing Multi-Site Air Quality dataset</w:t>
        </w:r>
      </w:hyperlink>
      <w:r>
        <w:t xml:space="preserve"> from Kaggle (UCI origin). It meets every requirement of the assignment:</w:t>
      </w:r>
    </w:p>
    <w:tbl>
      <w:tblPr>
        <w:tblStyle w:val="TableGrid"/>
        <w:tblW w:w="0" w:type="auto"/>
        <w:tblLayout w:type="fixed"/>
        <w:tblLook w:val="04A0" w:firstRow="1" w:lastRow="0" w:firstColumn="0" w:lastColumn="0" w:noHBand="0" w:noVBand="1"/>
      </w:tblPr>
      <w:tblGrid>
        <w:gridCol w:w="3702"/>
        <w:gridCol w:w="5657"/>
      </w:tblGrid>
      <w:tr>
        <w:trPr>
          <w:tblHeader/>
        </w:trPr>
        <w:tc>
          <w:tcPr>
            <w:tcW w:w="3702" w:type="dxa"/>
            <w:shd w:val="clear" w:color="auto" w:fill="F2F2F2"/>
          </w:tcPr>
          <w:p>
            <w:pPr/>
            <w:r>
              <w:t xml:space="preserve">Requirement</w:t>
            </w:r>
          </w:p>
        </w:tc>
        <w:tc>
          <w:tcPr>
            <w:tcW w:w="5657" w:type="dxa"/>
            <w:shd w:val="clear" w:color="auto" w:fill="F2F2F2"/>
          </w:tcPr>
          <w:p>
            <w:pPr/>
            <w:r>
              <w:t xml:space="preserve">How the dataset meets it</w:t>
            </w:r>
          </w:p>
        </w:tc>
      </w:tr>
      <w:tr>
        <w:tc>
          <w:tcPr>
            <w:tcW w:w="3702" w:type="dxa"/>
          </w:tcPr>
          <w:p>
            <w:pPr/>
            <w:r>
              <w:t xml:space="preserve">Clear timestamp</w:t>
            </w:r>
          </w:p>
        </w:tc>
        <w:tc>
          <w:tcPr>
            <w:tcW w:w="5657" w:type="dxa"/>
          </w:tcPr>
          <w:p>
            <w:pPr/>
            <w:r>
              <w:rPr>
                <w:rStyle w:val="CodeChar"/>
              </w:rPr>
              <w:t xml:space="preserve">year</w:t>
            </w:r>
            <w:r>
              <w:t xml:space="preserve">, </w:t>
            </w:r>
            <w:r>
              <w:rPr>
                <w:rStyle w:val="CodeChar"/>
              </w:rPr>
              <w:t xml:space="preserve">month</w:t>
            </w:r>
            <w:r>
              <w:t xml:space="preserve">, </w:t>
            </w:r>
            <w:r>
              <w:rPr>
                <w:rStyle w:val="CodeChar"/>
              </w:rPr>
              <w:t xml:space="preserve">day</w:t>
            </w:r>
            <w:r>
              <w:t xml:space="preserve">, </w:t>
            </w:r>
            <w:r>
              <w:rPr>
                <w:rStyle w:val="CodeChar"/>
              </w:rPr>
              <w:t xml:space="preserve">hour</w:t>
            </w:r>
            <w:r>
              <w:t xml:space="preserve"> columns, combined into one </w:t>
            </w:r>
            <w:r>
              <w:rPr>
                <w:rStyle w:val="CodeChar"/>
              </w:rPr>
              <w:t xml:space="preserve">timestamp</w:t>
            </w:r>
          </w:p>
        </w:tc>
      </w:tr>
      <w:tr>
        <w:tc>
          <w:tcPr>
            <w:tcW w:w="3702" w:type="dxa"/>
          </w:tcPr>
          <w:p>
            <w:pPr/>
            <w:r>
              <w:t xml:space="preserve">Meaningful target</w:t>
            </w:r>
          </w:p>
        </w:tc>
        <w:tc>
          <w:tcPr>
            <w:tcW w:w="5657" w:type="dxa"/>
          </w:tcPr>
          <w:p>
            <w:pPr/>
            <w:r>
              <w:t xml:space="preserve">PM2.5 concentration, the pollutant most tied to health outcomes</w:t>
            </w:r>
          </w:p>
        </w:tc>
      </w:tr>
      <w:tr>
        <w:tc>
          <w:tcPr>
            <w:tcW w:w="3702" w:type="dxa"/>
          </w:tcPr>
          <w:p>
            <w:pPr/>
            <w:r>
              <w:t xml:space="preserve">Multiple variables over time</w:t>
            </w:r>
          </w:p>
        </w:tc>
        <w:tc>
          <w:tcPr>
            <w:tcW w:w="5657" w:type="dxa"/>
          </w:tcPr>
          <w:p>
            <w:pPr/>
            <w:r>
              <w:t xml:space="preserve">6 pollutants (PM2.5, PM10, SO2, NO2, CO, O3) and 6 weather variables (temperature, pressure, dew point, rain, wind direction, wind speed)</w:t>
            </w:r>
          </w:p>
        </w:tc>
      </w:tr>
      <w:tr>
        <w:tc>
          <w:tcPr>
            <w:tcW w:w="3702" w:type="dxa"/>
          </w:tcPr>
          <w:p>
            <w:pPr/>
            <w:r>
              <w:t xml:space="preserve">Enough history</w:t>
            </w:r>
          </w:p>
        </w:tc>
        <w:tc>
          <w:tcPr>
            <w:tcW w:w="5657" w:type="dxa"/>
          </w:tcPr>
          <w:p>
            <w:pPr/>
            <w:r>
              <w:t xml:space="preserve">4 years of hourly data, 420,768 rows across 12 stations</w:t>
            </w:r>
          </w:p>
        </w:tc>
      </w:tr>
    </w:tbl>
    <w:p>
      <w:pPr/>
      <w:r>
        <w:t xml:space="preserve">The dataset also suits the database tasks: its station-by-hour structure maps naturally to a normalised relational schema, and its grouped pollutant and weather values map to nested MongoDB documents. Real gaps in the readings gave us a genuine missing-data problem to handle.</w:t>
      </w:r>
    </w:p>
    <w:p>
      <w:pPr>
        <w:pStyle w:val="Heading2"/>
      </w:pPr>
      <w:r>
        <w:t xml:space="preserve">2. Task 1A: Understanding the dataset</w:t>
      </w:r>
    </w:p>
    <w:p>
      <w:pPr/>
      <w:r>
        <w:t xml:space="preserve">The data is a clean, regular hourly series: 12 stations × 35,064 hours each, with no duplicate station-hours and no gaps in the time index. Only the measurement values are missing, at 0.1–5% per column.</w:t>
      </w:r>
    </w:p>
    <w:p>
      <w:pPr/>
      <w:r>
        <w:rPr>
          <w:b/>
        </w:rPr>
        <w:t xml:space="preserve">Time range and frequency.</w:t>
      </w:r>
      <w:r>
        <w:t xml:space="preserve"> The 12 station CSVs were combined (420,768 rows) and a </w:t>
      </w:r>
      <w:r>
        <w:rPr>
          <w:rStyle w:val="CodeChar"/>
        </w:rPr>
        <w:t xml:space="preserve">timestamp</w:t>
      </w:r>
      <w:r>
        <w:t xml:space="preserve"> was built from </w:t>
      </w:r>
      <w:r>
        <w:rPr>
          <w:rStyle w:val="CodeChar"/>
        </w:rPr>
        <w:t xml:space="preserve">year</w:t>
      </w:r>
      <w:r>
        <w:t xml:space="preserve">, </w:t>
      </w:r>
      <w:r>
        <w:rPr>
          <w:rStyle w:val="CodeChar"/>
        </w:rPr>
        <w:t xml:space="preserve">month</w:t>
      </w:r>
      <w:r>
        <w:t xml:space="preserve">, </w:t>
      </w:r>
      <w:r>
        <w:rPr>
          <w:rStyle w:val="CodeChar"/>
        </w:rPr>
        <w:t xml:space="preserve">day</w:t>
      </w:r>
      <w:r>
        <w:t xml:space="preserve"> and </w:t>
      </w:r>
      <w:r>
        <w:rPr>
          <w:rStyle w:val="CodeChar"/>
        </w:rPr>
        <w:t xml:space="preserve">hour</w:t>
      </w:r>
      <w:r>
        <w:t xml:space="preserve">. The series runs from 2013-03-01 00:00 to 2017-02-28 23:00. At every station, consecutive readings are exactly one hour apart, and there are 0 duplicate (station, timestamp) pairs.</w:t>
      </w:r>
    </w:p>
    <w:p>
      <w:pPr/>
      <w:r>
        <w:rPr>
          <w:b/>
        </w:rPr>
        <w:t xml:space="preserve">Missing values.</w:t>
      </w:r>
      <w:r>
        <w:t xml:space="preserve"> Every timestamp is present; gaps are only in the measured values:</w:t>
      </w:r>
    </w:p>
    <w:tbl>
      <w:tblPr>
        <w:tblStyle w:val="TableGrid"/>
        <w:tblW w:w="0" w:type="auto"/>
        <w:tblLayout w:type="fixed"/>
        <w:tblLook w:val="04A0" w:firstRow="1" w:lastRow="0" w:firstColumn="0" w:lastColumn="0" w:noHBand="0" w:noVBand="1"/>
      </w:tblPr>
      <w:tblGrid>
        <w:gridCol w:w="5277"/>
        <w:gridCol w:w="2142"/>
        <w:gridCol w:w="1940"/>
      </w:tblGrid>
      <w:tr>
        <w:trPr>
          <w:tblHeader/>
        </w:trPr>
        <w:tc>
          <w:tcPr>
            <w:tcW w:w="5277" w:type="dxa"/>
            <w:shd w:val="clear" w:color="auto" w:fill="F2F2F2"/>
          </w:tcPr>
          <w:p>
            <w:pPr/>
            <w:r>
              <w:t xml:space="preserve">Column</w:t>
            </w:r>
          </w:p>
        </w:tc>
        <w:tc>
          <w:tcPr>
            <w:tcW w:w="2142" w:type="dxa"/>
            <w:shd w:val="clear" w:color="auto" w:fill="F2F2F2"/>
          </w:tcPr>
          <w:p>
            <w:pPr>
              <w:jc w:val="right"/>
            </w:pPr>
            <w:r>
              <w:t xml:space="preserve">Missing rows</w:t>
            </w:r>
          </w:p>
        </w:tc>
        <w:tc>
          <w:tcPr>
            <w:tcW w:w="1940" w:type="dxa"/>
            <w:shd w:val="clear" w:color="auto" w:fill="F2F2F2"/>
          </w:tcPr>
          <w:p>
            <w:pPr>
              <w:jc w:val="right"/>
            </w:pPr>
            <w:r>
              <w:t xml:space="preserve">Missing (%)</w:t>
            </w:r>
          </w:p>
        </w:tc>
      </w:tr>
      <w:tr>
        <w:tc>
          <w:tcPr>
            <w:tcW w:w="5277" w:type="dxa"/>
          </w:tcPr>
          <w:p>
            <w:pPr/>
            <w:r>
              <w:t xml:space="preserve">CO</w:t>
            </w:r>
          </w:p>
        </w:tc>
        <w:tc>
          <w:tcPr>
            <w:tcW w:w="2142" w:type="dxa"/>
          </w:tcPr>
          <w:p>
            <w:pPr>
              <w:jc w:val="right"/>
            </w:pPr>
            <w:r>
              <w:t xml:space="preserve">20,701</w:t>
            </w:r>
          </w:p>
        </w:tc>
        <w:tc>
          <w:tcPr>
            <w:tcW w:w="1940" w:type="dxa"/>
          </w:tcPr>
          <w:p>
            <w:pPr>
              <w:jc w:val="right"/>
            </w:pPr>
            <w:r>
              <w:t xml:space="preserve">4.92</w:t>
            </w:r>
          </w:p>
        </w:tc>
      </w:tr>
      <w:tr>
        <w:tc>
          <w:tcPr>
            <w:tcW w:w="5277" w:type="dxa"/>
          </w:tcPr>
          <w:p>
            <w:pPr/>
            <w:r>
              <w:t xml:space="preserve">O3</w:t>
            </w:r>
          </w:p>
        </w:tc>
        <w:tc>
          <w:tcPr>
            <w:tcW w:w="2142" w:type="dxa"/>
          </w:tcPr>
          <w:p>
            <w:pPr>
              <w:jc w:val="right"/>
            </w:pPr>
            <w:r>
              <w:t xml:space="preserve">13,277</w:t>
            </w:r>
          </w:p>
        </w:tc>
        <w:tc>
          <w:tcPr>
            <w:tcW w:w="1940" w:type="dxa"/>
          </w:tcPr>
          <w:p>
            <w:pPr>
              <w:jc w:val="right"/>
            </w:pPr>
            <w:r>
              <w:t xml:space="preserve">3.16</w:t>
            </w:r>
          </w:p>
        </w:tc>
      </w:tr>
      <w:tr>
        <w:tc>
          <w:tcPr>
            <w:tcW w:w="5277" w:type="dxa"/>
          </w:tcPr>
          <w:p>
            <w:pPr/>
            <w:r>
              <w:t xml:space="preserve">NO2</w:t>
            </w:r>
          </w:p>
        </w:tc>
        <w:tc>
          <w:tcPr>
            <w:tcW w:w="2142" w:type="dxa"/>
          </w:tcPr>
          <w:p>
            <w:pPr>
              <w:jc w:val="right"/>
            </w:pPr>
            <w:r>
              <w:t xml:space="preserve">12,116</w:t>
            </w:r>
          </w:p>
        </w:tc>
        <w:tc>
          <w:tcPr>
            <w:tcW w:w="1940" w:type="dxa"/>
          </w:tcPr>
          <w:p>
            <w:pPr>
              <w:jc w:val="right"/>
            </w:pPr>
            <w:r>
              <w:t xml:space="preserve">2.88</w:t>
            </w:r>
          </w:p>
        </w:tc>
      </w:tr>
      <w:tr>
        <w:tc>
          <w:tcPr>
            <w:tcW w:w="5277" w:type="dxa"/>
          </w:tcPr>
          <w:p>
            <w:pPr/>
            <w:r>
              <w:t xml:space="preserve">SO2</w:t>
            </w:r>
          </w:p>
        </w:tc>
        <w:tc>
          <w:tcPr>
            <w:tcW w:w="2142" w:type="dxa"/>
          </w:tcPr>
          <w:p>
            <w:pPr>
              <w:jc w:val="right"/>
            </w:pPr>
            <w:r>
              <w:t xml:space="preserve">9,021</w:t>
            </w:r>
          </w:p>
        </w:tc>
        <w:tc>
          <w:tcPr>
            <w:tcW w:w="1940" w:type="dxa"/>
          </w:tcPr>
          <w:p>
            <w:pPr>
              <w:jc w:val="right"/>
            </w:pPr>
            <w:r>
              <w:t xml:space="preserve">2.14</w:t>
            </w:r>
          </w:p>
        </w:tc>
      </w:tr>
      <w:tr>
        <w:tc>
          <w:tcPr>
            <w:tcW w:w="5277" w:type="dxa"/>
          </w:tcPr>
          <w:p>
            <w:pPr/>
            <w:r>
              <w:t xml:space="preserve">PM2.5 (target)</w:t>
            </w:r>
          </w:p>
        </w:tc>
        <w:tc>
          <w:tcPr>
            <w:tcW w:w="2142" w:type="dxa"/>
          </w:tcPr>
          <w:p>
            <w:pPr>
              <w:jc w:val="right"/>
            </w:pPr>
            <w:r>
              <w:t xml:space="preserve">8,739</w:t>
            </w:r>
          </w:p>
        </w:tc>
        <w:tc>
          <w:tcPr>
            <w:tcW w:w="1940" w:type="dxa"/>
          </w:tcPr>
          <w:p>
            <w:pPr>
              <w:jc w:val="right"/>
            </w:pPr>
            <w:r>
              <w:t xml:space="preserve">2.08</w:t>
            </w:r>
          </w:p>
        </w:tc>
      </w:tr>
      <w:tr>
        <w:tc>
          <w:tcPr>
            <w:tcW w:w="5277" w:type="dxa"/>
          </w:tcPr>
          <w:p>
            <w:pPr/>
            <w:r>
              <w:t xml:space="preserve">PM10</w:t>
            </w:r>
          </w:p>
        </w:tc>
        <w:tc>
          <w:tcPr>
            <w:tcW w:w="2142" w:type="dxa"/>
          </w:tcPr>
          <w:p>
            <w:pPr>
              <w:jc w:val="right"/>
            </w:pPr>
            <w:r>
              <w:t xml:space="preserve">6,449</w:t>
            </w:r>
          </w:p>
        </w:tc>
        <w:tc>
          <w:tcPr>
            <w:tcW w:w="1940" w:type="dxa"/>
          </w:tcPr>
          <w:p>
            <w:pPr>
              <w:jc w:val="right"/>
            </w:pPr>
            <w:r>
              <w:t xml:space="preserve">1.53</w:t>
            </w:r>
          </w:p>
        </w:tc>
      </w:tr>
      <w:tr>
        <w:tc>
          <w:tcPr>
            <w:tcW w:w="5277" w:type="dxa"/>
          </w:tcPr>
          <w:p>
            <w:pPr/>
            <w:r>
              <w:t xml:space="preserve">Wind direction</w:t>
            </w:r>
          </w:p>
        </w:tc>
        <w:tc>
          <w:tcPr>
            <w:tcW w:w="2142" w:type="dxa"/>
          </w:tcPr>
          <w:p>
            <w:pPr>
              <w:jc w:val="right"/>
            </w:pPr>
            <w:r>
              <w:t xml:space="preserve">1,822</w:t>
            </w:r>
          </w:p>
        </w:tc>
        <w:tc>
          <w:tcPr>
            <w:tcW w:w="1940" w:type="dxa"/>
          </w:tcPr>
          <w:p>
            <w:pPr>
              <w:jc w:val="right"/>
            </w:pPr>
            <w:r>
              <w:t xml:space="preserve">0.43</w:t>
            </w:r>
          </w:p>
        </w:tc>
      </w:tr>
      <w:tr>
        <w:tc>
          <w:tcPr>
            <w:tcW w:w="5277" w:type="dxa"/>
          </w:tcPr>
          <w:p>
            <w:pPr/>
            <w:r>
              <w:t xml:space="preserve">TEMP, PRES, DEWP, RAIN, WSPM</w:t>
            </w:r>
          </w:p>
        </w:tc>
        <w:tc>
          <w:tcPr>
            <w:tcW w:w="2142" w:type="dxa"/>
          </w:tcPr>
          <w:p>
            <w:pPr>
              <w:jc w:val="right"/>
            </w:pPr>
            <w:r>
              <w:t xml:space="preserve">318–403 each</w:t>
            </w:r>
          </w:p>
        </w:tc>
        <w:tc>
          <w:tcPr>
            <w:tcW w:w="1940" w:type="dxa"/>
          </w:tcPr>
          <w:p>
            <w:pPr>
              <w:jc w:val="right"/>
            </w:pPr>
            <w:r>
              <w:t xml:space="preserve">≤ 0.10</w:t>
            </w:r>
          </w:p>
        </w:tc>
      </w:tr>
    </w:tbl>
    <w:p>
      <w:pPr/>
      <w:r>
        <w:rPr>
          <w:b/>
        </w:rPr>
        <w:t xml:space="preserve">How we handled them, and why:</w:t>
      </w:r>
    </w:p>
    <w:p>
      <w:pPr>
        <w:pStyle w:val="ListParagraph"/>
        <w:numPr>
          <w:ilvl w:val="0"/>
          <w:numId w:val="3"/>
        </w:numPr>
      </w:pPr>
      <w:r>
        <w:rPr>
          <w:b/>
        </w:rPr>
        <w:t xml:space="preserve">Target gaps were dropped.</w:t>
      </w:r>
      <w:r>
        <w:t xml:space="preserve"> Rows whose next-hour PM2.5 was missing were removed before modelling (750 missing PM2.5 hours at Dongsi). Imputing the target would train the model on invented answers.</w:t>
      </w:r>
    </w:p>
    <w:p>
      <w:pPr>
        <w:pStyle w:val="ListParagraph"/>
        <w:numPr>
          <w:ilvl w:val="0"/>
          <w:numId w:val="3"/>
        </w:numPr>
      </w:pPr>
      <w:r>
        <w:rPr>
          <w:b/>
        </w:rPr>
        <w:t xml:space="preserve">Feature gaps were filled with the training-set median.</w:t>
      </w:r>
      <w:r>
        <w:t xml:space="preserve"> A </w:t>
      </w:r>
      <w:r>
        <w:rPr>
          <w:rStyle w:val="CodeChar"/>
        </w:rPr>
        <w:t xml:space="preserve">SimpleImputer(strategy="median")</w:t>
      </w:r>
      <w:r>
        <w:t xml:space="preserve"> is the first step of the model pipeline, so it learns medians from the training period only and applies them unchanged to the test period. This avoids leaking future information. We chose the median over the mean because the pollutant distributions are heavily right-skewed.</w:t>
      </w:r>
    </w:p>
    <w:p>
      <w:pPr>
        <w:pStyle w:val="ListParagraph"/>
        <w:numPr>
          <w:ilvl w:val="0"/>
          <w:numId w:val="3"/>
        </w:numPr>
      </w:pPr>
      <w:r>
        <w:rPr>
          <w:b/>
        </w:rPr>
        <w:t xml:space="preserve">Databases keep gaps as NULL.</w:t>
      </w:r>
      <w:r>
        <w:t xml:space="preserve"> The SQL and MongoDB stores keep missing readings as </w:t>
      </w:r>
      <w:r>
        <w:rPr>
          <w:rStyle w:val="CodeChar"/>
        </w:rPr>
        <w:t xml:space="preserve">NULL</w:t>
      </w:r>
      <w:r>
        <w:t xml:space="preserve">/</w:t>
      </w:r>
      <w:r>
        <w:rPr>
          <w:rStyle w:val="CodeChar"/>
        </w:rPr>
        <w:t xml:space="preserve">null</w:t>
      </w:r>
      <w:r>
        <w:t xml:space="preserve"> rather than filled values, so the raw record stays faithful and each consumer can apply its own imputation.</w:t>
      </w:r>
    </w:p>
    <w:p>
      <w:pPr/>
      <w:r>
        <w:rPr>
          <w:b/>
        </w:rPr>
        <w:t xml:space="preserve">Statistical distribution</w:t>
      </w:r>
      <w:r>
        <w:t xml:space="preserve"> (all stations):</w:t>
      </w:r>
    </w:p>
    <w:tbl>
      <w:tblPr>
        <w:tblStyle w:val="TableGrid"/>
        <w:tblW w:w="0" w:type="auto"/>
        <w:tblLayout w:type="fixed"/>
        <w:tblLook w:val="04A0" w:firstRow="1" w:lastRow="0" w:firstColumn="0" w:lastColumn="0" w:noHBand="0" w:noVBand="1"/>
      </w:tblPr>
      <w:tblGrid>
        <w:gridCol w:w="2838"/>
        <w:gridCol w:w="1297"/>
        <w:gridCol w:w="1304"/>
        <w:gridCol w:w="1297"/>
        <w:gridCol w:w="1169"/>
        <w:gridCol w:w="1453"/>
      </w:tblGrid>
      <w:tr>
        <w:trPr>
          <w:tblHeader/>
        </w:trPr>
        <w:tc>
          <w:tcPr>
            <w:tcW w:w="2838" w:type="dxa"/>
            <w:shd w:val="clear" w:color="auto" w:fill="F2F2F2"/>
          </w:tcPr>
          <w:p>
            <w:pPr/>
            <w:r>
              <w:t xml:space="preserve">Variable</w:t>
            </w:r>
          </w:p>
        </w:tc>
        <w:tc>
          <w:tcPr>
            <w:tcW w:w="1297" w:type="dxa"/>
            <w:shd w:val="clear" w:color="auto" w:fill="F2F2F2"/>
          </w:tcPr>
          <w:p>
            <w:pPr>
              <w:jc w:val="right"/>
            </w:pPr>
            <w:r>
              <w:t xml:space="preserve">Mean</w:t>
            </w:r>
          </w:p>
        </w:tc>
        <w:tc>
          <w:tcPr>
            <w:tcW w:w="1304" w:type="dxa"/>
            <w:shd w:val="clear" w:color="auto" w:fill="F2F2F2"/>
          </w:tcPr>
          <w:p>
            <w:pPr>
              <w:jc w:val="right"/>
            </w:pPr>
            <w:r>
              <w:t xml:space="preserve">Median</w:t>
            </w:r>
          </w:p>
        </w:tc>
        <w:tc>
          <w:tcPr>
            <w:tcW w:w="1297" w:type="dxa"/>
            <w:shd w:val="clear" w:color="auto" w:fill="F2F2F2"/>
          </w:tcPr>
          <w:p>
            <w:pPr>
              <w:jc w:val="right"/>
            </w:pPr>
            <w:r>
              <w:t xml:space="preserve">Std</w:t>
            </w:r>
          </w:p>
        </w:tc>
        <w:tc>
          <w:tcPr>
            <w:tcW w:w="1169" w:type="dxa"/>
            <w:shd w:val="clear" w:color="auto" w:fill="F2F2F2"/>
          </w:tcPr>
          <w:p>
            <w:pPr>
              <w:jc w:val="right"/>
            </w:pPr>
            <w:r>
              <w:t xml:space="preserve">Min</w:t>
            </w:r>
          </w:p>
        </w:tc>
        <w:tc>
          <w:tcPr>
            <w:tcW w:w="1453" w:type="dxa"/>
            <w:shd w:val="clear" w:color="auto" w:fill="F2F2F2"/>
          </w:tcPr>
          <w:p>
            <w:pPr>
              <w:jc w:val="right"/>
            </w:pPr>
            <w:r>
              <w:t xml:space="preserve">Max</w:t>
            </w:r>
          </w:p>
        </w:tc>
      </w:tr>
      <w:tr>
        <w:tc>
          <w:tcPr>
            <w:tcW w:w="2838" w:type="dxa"/>
          </w:tcPr>
          <w:p>
            <w:pPr/>
            <w:r>
              <w:t xml:space="preserve">PM2.5 (μg/m³)</w:t>
            </w:r>
          </w:p>
        </w:tc>
        <w:tc>
          <w:tcPr>
            <w:tcW w:w="1297" w:type="dxa"/>
          </w:tcPr>
          <w:p>
            <w:pPr>
              <w:jc w:val="right"/>
            </w:pPr>
            <w:r>
              <w:t xml:space="preserve">79.8</w:t>
            </w:r>
          </w:p>
        </w:tc>
        <w:tc>
          <w:tcPr>
            <w:tcW w:w="1304" w:type="dxa"/>
          </w:tcPr>
          <w:p>
            <w:pPr>
              <w:jc w:val="right"/>
            </w:pPr>
            <w:r>
              <w:t xml:space="preserve">55.0</w:t>
            </w:r>
          </w:p>
        </w:tc>
        <w:tc>
          <w:tcPr>
            <w:tcW w:w="1297" w:type="dxa"/>
          </w:tcPr>
          <w:p>
            <w:pPr>
              <w:jc w:val="right"/>
            </w:pPr>
            <w:r>
              <w:t xml:space="preserve">80.8</w:t>
            </w:r>
          </w:p>
        </w:tc>
        <w:tc>
          <w:tcPr>
            <w:tcW w:w="1169" w:type="dxa"/>
          </w:tcPr>
          <w:p>
            <w:pPr>
              <w:jc w:val="right"/>
            </w:pPr>
            <w:r>
              <w:t xml:space="preserve">2.0</w:t>
            </w:r>
          </w:p>
        </w:tc>
        <w:tc>
          <w:tcPr>
            <w:tcW w:w="1453" w:type="dxa"/>
          </w:tcPr>
          <w:p>
            <w:pPr>
              <w:jc w:val="right"/>
            </w:pPr>
            <w:r>
              <w:t xml:space="preserve">999.0</w:t>
            </w:r>
          </w:p>
        </w:tc>
      </w:tr>
      <w:tr>
        <w:tc>
          <w:tcPr>
            <w:tcW w:w="2838" w:type="dxa"/>
          </w:tcPr>
          <w:p>
            <w:pPr/>
            <w:r>
              <w:t xml:space="preserve">PM10 (μg/m³)</w:t>
            </w:r>
          </w:p>
        </w:tc>
        <w:tc>
          <w:tcPr>
            <w:tcW w:w="1297" w:type="dxa"/>
          </w:tcPr>
          <w:p>
            <w:pPr>
              <w:jc w:val="right"/>
            </w:pPr>
            <w:r>
              <w:t xml:space="preserve">104.6</w:t>
            </w:r>
          </w:p>
        </w:tc>
        <w:tc>
          <w:tcPr>
            <w:tcW w:w="1304" w:type="dxa"/>
          </w:tcPr>
          <w:p>
            <w:pPr>
              <w:jc w:val="right"/>
            </w:pPr>
            <w:r>
              <w:t xml:space="preserve">82.0</w:t>
            </w:r>
          </w:p>
        </w:tc>
        <w:tc>
          <w:tcPr>
            <w:tcW w:w="1297" w:type="dxa"/>
          </w:tcPr>
          <w:p>
            <w:pPr>
              <w:jc w:val="right"/>
            </w:pPr>
            <w:r>
              <w:t xml:space="preserve">91.8</w:t>
            </w:r>
          </w:p>
        </w:tc>
        <w:tc>
          <w:tcPr>
            <w:tcW w:w="1169" w:type="dxa"/>
          </w:tcPr>
          <w:p>
            <w:pPr>
              <w:jc w:val="right"/>
            </w:pPr>
            <w:r>
              <w:t xml:space="preserve">2.0</w:t>
            </w:r>
          </w:p>
        </w:tc>
        <w:tc>
          <w:tcPr>
            <w:tcW w:w="1453" w:type="dxa"/>
          </w:tcPr>
          <w:p>
            <w:pPr>
              <w:jc w:val="right"/>
            </w:pPr>
            <w:r>
              <w:t xml:space="preserve">999.0</w:t>
            </w:r>
          </w:p>
        </w:tc>
      </w:tr>
      <w:tr>
        <w:tc>
          <w:tcPr>
            <w:tcW w:w="2838" w:type="dxa"/>
          </w:tcPr>
          <w:p>
            <w:pPr/>
            <w:r>
              <w:t xml:space="preserve">SO2 (μg/m³)</w:t>
            </w:r>
          </w:p>
        </w:tc>
        <w:tc>
          <w:tcPr>
            <w:tcW w:w="1297" w:type="dxa"/>
          </w:tcPr>
          <w:p>
            <w:pPr>
              <w:jc w:val="right"/>
            </w:pPr>
            <w:r>
              <w:t xml:space="preserve">15.8</w:t>
            </w:r>
          </w:p>
        </w:tc>
        <w:tc>
          <w:tcPr>
            <w:tcW w:w="1304" w:type="dxa"/>
          </w:tcPr>
          <w:p>
            <w:pPr>
              <w:jc w:val="right"/>
            </w:pPr>
            <w:r>
              <w:t xml:space="preserve">7.0</w:t>
            </w:r>
          </w:p>
        </w:tc>
        <w:tc>
          <w:tcPr>
            <w:tcW w:w="1297" w:type="dxa"/>
          </w:tcPr>
          <w:p>
            <w:pPr>
              <w:jc w:val="right"/>
            </w:pPr>
            <w:r>
              <w:t xml:space="preserve">21.7</w:t>
            </w:r>
          </w:p>
        </w:tc>
        <w:tc>
          <w:tcPr>
            <w:tcW w:w="1169" w:type="dxa"/>
          </w:tcPr>
          <w:p>
            <w:pPr>
              <w:jc w:val="right"/>
            </w:pPr>
            <w:r>
              <w:t xml:space="preserve">0.3</w:t>
            </w:r>
          </w:p>
        </w:tc>
        <w:tc>
          <w:tcPr>
            <w:tcW w:w="1453" w:type="dxa"/>
          </w:tcPr>
          <w:p>
            <w:pPr>
              <w:jc w:val="right"/>
            </w:pPr>
            <w:r>
              <w:t xml:space="preserve">500.0</w:t>
            </w:r>
          </w:p>
        </w:tc>
      </w:tr>
      <w:tr>
        <w:tc>
          <w:tcPr>
            <w:tcW w:w="2838" w:type="dxa"/>
          </w:tcPr>
          <w:p>
            <w:pPr/>
            <w:r>
              <w:t xml:space="preserve">NO2 (μg/m³)</w:t>
            </w:r>
          </w:p>
        </w:tc>
        <w:tc>
          <w:tcPr>
            <w:tcW w:w="1297" w:type="dxa"/>
          </w:tcPr>
          <w:p>
            <w:pPr>
              <w:jc w:val="right"/>
            </w:pPr>
            <w:r>
              <w:t xml:space="preserve">50.6</w:t>
            </w:r>
          </w:p>
        </w:tc>
        <w:tc>
          <w:tcPr>
            <w:tcW w:w="1304" w:type="dxa"/>
          </w:tcPr>
          <w:p>
            <w:pPr>
              <w:jc w:val="right"/>
            </w:pPr>
            <w:r>
              <w:t xml:space="preserve">43.0</w:t>
            </w:r>
          </w:p>
        </w:tc>
        <w:tc>
          <w:tcPr>
            <w:tcW w:w="1297" w:type="dxa"/>
          </w:tcPr>
          <w:p>
            <w:pPr>
              <w:jc w:val="right"/>
            </w:pPr>
            <w:r>
              <w:t xml:space="preserve">35.1</w:t>
            </w:r>
          </w:p>
        </w:tc>
        <w:tc>
          <w:tcPr>
            <w:tcW w:w="1169" w:type="dxa"/>
          </w:tcPr>
          <w:p>
            <w:pPr>
              <w:jc w:val="right"/>
            </w:pPr>
            <w:r>
              <w:t xml:space="preserve">1.0</w:t>
            </w:r>
          </w:p>
        </w:tc>
        <w:tc>
          <w:tcPr>
            <w:tcW w:w="1453" w:type="dxa"/>
          </w:tcPr>
          <w:p>
            <w:pPr>
              <w:jc w:val="right"/>
            </w:pPr>
            <w:r>
              <w:t xml:space="preserve">290.0</w:t>
            </w:r>
          </w:p>
        </w:tc>
      </w:tr>
      <w:tr>
        <w:tc>
          <w:tcPr>
            <w:tcW w:w="2838" w:type="dxa"/>
          </w:tcPr>
          <w:p>
            <w:pPr/>
            <w:r>
              <w:t xml:space="preserve">CO (μg/m³)</w:t>
            </w:r>
          </w:p>
        </w:tc>
        <w:tc>
          <w:tcPr>
            <w:tcW w:w="1297" w:type="dxa"/>
          </w:tcPr>
          <w:p>
            <w:pPr>
              <w:jc w:val="right"/>
            </w:pPr>
            <w:r>
              <w:t xml:space="preserve">1,230.8</w:t>
            </w:r>
          </w:p>
        </w:tc>
        <w:tc>
          <w:tcPr>
            <w:tcW w:w="1304" w:type="dxa"/>
          </w:tcPr>
          <w:p>
            <w:pPr>
              <w:jc w:val="right"/>
            </w:pPr>
            <w:r>
              <w:t xml:space="preserve">900.0</w:t>
            </w:r>
          </w:p>
        </w:tc>
        <w:tc>
          <w:tcPr>
            <w:tcW w:w="1297" w:type="dxa"/>
          </w:tcPr>
          <w:p>
            <w:pPr>
              <w:jc w:val="right"/>
            </w:pPr>
            <w:r>
              <w:t xml:space="preserve">1,160.2</w:t>
            </w:r>
          </w:p>
        </w:tc>
        <w:tc>
          <w:tcPr>
            <w:tcW w:w="1169" w:type="dxa"/>
          </w:tcPr>
          <w:p>
            <w:pPr>
              <w:jc w:val="right"/>
            </w:pPr>
            <w:r>
              <w:t xml:space="preserve">100.0</w:t>
            </w:r>
          </w:p>
        </w:tc>
        <w:tc>
          <w:tcPr>
            <w:tcW w:w="1453" w:type="dxa"/>
          </w:tcPr>
          <w:p>
            <w:pPr>
              <w:jc w:val="right"/>
            </w:pPr>
            <w:r>
              <w:t xml:space="preserve">10,000.0</w:t>
            </w:r>
          </w:p>
        </w:tc>
      </w:tr>
      <w:tr>
        <w:tc>
          <w:tcPr>
            <w:tcW w:w="2838" w:type="dxa"/>
          </w:tcPr>
          <w:p>
            <w:pPr/>
            <w:r>
              <w:t xml:space="preserve">O3 (μg/m³)</w:t>
            </w:r>
          </w:p>
        </w:tc>
        <w:tc>
          <w:tcPr>
            <w:tcW w:w="1297" w:type="dxa"/>
          </w:tcPr>
          <w:p>
            <w:pPr>
              <w:jc w:val="right"/>
            </w:pPr>
            <w:r>
              <w:t xml:space="preserve">57.4</w:t>
            </w:r>
          </w:p>
        </w:tc>
        <w:tc>
          <w:tcPr>
            <w:tcW w:w="1304" w:type="dxa"/>
          </w:tcPr>
          <w:p>
            <w:pPr>
              <w:jc w:val="right"/>
            </w:pPr>
            <w:r>
              <w:t xml:space="preserve">45.0</w:t>
            </w:r>
          </w:p>
        </w:tc>
        <w:tc>
          <w:tcPr>
            <w:tcW w:w="1297" w:type="dxa"/>
          </w:tcPr>
          <w:p>
            <w:pPr>
              <w:jc w:val="right"/>
            </w:pPr>
            <w:r>
              <w:t xml:space="preserve">56.7</w:t>
            </w:r>
          </w:p>
        </w:tc>
        <w:tc>
          <w:tcPr>
            <w:tcW w:w="1169" w:type="dxa"/>
          </w:tcPr>
          <w:p>
            <w:pPr>
              <w:jc w:val="right"/>
            </w:pPr>
            <w:r>
              <w:t xml:space="preserve">0.2</w:t>
            </w:r>
          </w:p>
        </w:tc>
        <w:tc>
          <w:tcPr>
            <w:tcW w:w="1453" w:type="dxa"/>
          </w:tcPr>
          <w:p>
            <w:pPr>
              <w:jc w:val="right"/>
            </w:pPr>
            <w:r>
              <w:t xml:space="preserve">1,071.0</w:t>
            </w:r>
          </w:p>
        </w:tc>
      </w:tr>
      <w:tr>
        <w:tc>
          <w:tcPr>
            <w:tcW w:w="2838" w:type="dxa"/>
          </w:tcPr>
          <w:p>
            <w:pPr/>
            <w:r>
              <w:t xml:space="preserve">Temperature (°C)</w:t>
            </w:r>
          </w:p>
        </w:tc>
        <w:tc>
          <w:tcPr>
            <w:tcW w:w="1297" w:type="dxa"/>
          </w:tcPr>
          <w:p>
            <w:pPr>
              <w:jc w:val="right"/>
            </w:pPr>
            <w:r>
              <w:t xml:space="preserve">13.5</w:t>
            </w:r>
          </w:p>
        </w:tc>
        <w:tc>
          <w:tcPr>
            <w:tcW w:w="1304" w:type="dxa"/>
          </w:tcPr>
          <w:p>
            <w:pPr>
              <w:jc w:val="right"/>
            </w:pPr>
            <w:r>
              <w:t xml:space="preserve">14.5</w:t>
            </w:r>
          </w:p>
        </w:tc>
        <w:tc>
          <w:tcPr>
            <w:tcW w:w="1297" w:type="dxa"/>
          </w:tcPr>
          <w:p>
            <w:pPr>
              <w:jc w:val="right"/>
            </w:pPr>
            <w:r>
              <w:t xml:space="preserve">11.4</w:t>
            </w:r>
          </w:p>
        </w:tc>
        <w:tc>
          <w:tcPr>
            <w:tcW w:w="1169" w:type="dxa"/>
          </w:tcPr>
          <w:p>
            <w:pPr>
              <w:jc w:val="right"/>
            </w:pPr>
            <w:r>
              <w:t xml:space="preserve">−19.9</w:t>
            </w:r>
          </w:p>
        </w:tc>
        <w:tc>
          <w:tcPr>
            <w:tcW w:w="1453" w:type="dxa"/>
          </w:tcPr>
          <w:p>
            <w:pPr>
              <w:jc w:val="right"/>
            </w:pPr>
            <w:r>
              <w:t xml:space="preserve">41.6</w:t>
            </w:r>
          </w:p>
        </w:tc>
      </w:tr>
      <w:tr>
        <w:tc>
          <w:tcPr>
            <w:tcW w:w="2838" w:type="dxa"/>
          </w:tcPr>
          <w:p>
            <w:pPr/>
            <w:r>
              <w:t xml:space="preserve">Pressure (hPa)</w:t>
            </w:r>
          </w:p>
        </w:tc>
        <w:tc>
          <w:tcPr>
            <w:tcW w:w="1297" w:type="dxa"/>
          </w:tcPr>
          <w:p>
            <w:pPr>
              <w:jc w:val="right"/>
            </w:pPr>
            <w:r>
              <w:t xml:space="preserve">1,010.7</w:t>
            </w:r>
          </w:p>
        </w:tc>
        <w:tc>
          <w:tcPr>
            <w:tcW w:w="1304" w:type="dxa"/>
          </w:tcPr>
          <w:p>
            <w:pPr>
              <w:jc w:val="right"/>
            </w:pPr>
            <w:r>
              <w:t xml:space="preserve">1,010.4</w:t>
            </w:r>
          </w:p>
        </w:tc>
        <w:tc>
          <w:tcPr>
            <w:tcW w:w="1297" w:type="dxa"/>
          </w:tcPr>
          <w:p>
            <w:pPr>
              <w:jc w:val="right"/>
            </w:pPr>
            <w:r>
              <w:t xml:space="preserve">10.5</w:t>
            </w:r>
          </w:p>
        </w:tc>
        <w:tc>
          <w:tcPr>
            <w:tcW w:w="1169" w:type="dxa"/>
          </w:tcPr>
          <w:p>
            <w:pPr>
              <w:jc w:val="right"/>
            </w:pPr>
            <w:r>
              <w:t xml:space="preserve">982.4</w:t>
            </w:r>
          </w:p>
        </w:tc>
        <w:tc>
          <w:tcPr>
            <w:tcW w:w="1453" w:type="dxa"/>
          </w:tcPr>
          <w:p>
            <w:pPr>
              <w:jc w:val="right"/>
            </w:pPr>
            <w:r>
              <w:t xml:space="preserve">1,042.8</w:t>
            </w:r>
          </w:p>
        </w:tc>
      </w:tr>
      <w:tr>
        <w:tc>
          <w:tcPr>
            <w:tcW w:w="2838" w:type="dxa"/>
          </w:tcPr>
          <w:p>
            <w:pPr/>
            <w:r>
              <w:t xml:space="preserve">Dew point (°C)</w:t>
            </w:r>
          </w:p>
        </w:tc>
        <w:tc>
          <w:tcPr>
            <w:tcW w:w="1297" w:type="dxa"/>
          </w:tcPr>
          <w:p>
            <w:pPr>
              <w:jc w:val="right"/>
            </w:pPr>
            <w:r>
              <w:t xml:space="preserve">2.5</w:t>
            </w:r>
          </w:p>
        </w:tc>
        <w:tc>
          <w:tcPr>
            <w:tcW w:w="1304" w:type="dxa"/>
          </w:tcPr>
          <w:p>
            <w:pPr>
              <w:jc w:val="right"/>
            </w:pPr>
            <w:r>
              <w:t xml:space="preserve">3.1</w:t>
            </w:r>
          </w:p>
        </w:tc>
        <w:tc>
          <w:tcPr>
            <w:tcW w:w="1297" w:type="dxa"/>
          </w:tcPr>
          <w:p>
            <w:pPr>
              <w:jc w:val="right"/>
            </w:pPr>
            <w:r>
              <w:t xml:space="preserve">13.8</w:t>
            </w:r>
          </w:p>
        </w:tc>
        <w:tc>
          <w:tcPr>
            <w:tcW w:w="1169" w:type="dxa"/>
          </w:tcPr>
          <w:p>
            <w:pPr>
              <w:jc w:val="right"/>
            </w:pPr>
            <w:r>
              <w:t xml:space="preserve">−43.4</w:t>
            </w:r>
          </w:p>
        </w:tc>
        <w:tc>
          <w:tcPr>
            <w:tcW w:w="1453" w:type="dxa"/>
          </w:tcPr>
          <w:p>
            <w:pPr>
              <w:jc w:val="right"/>
            </w:pPr>
            <w:r>
              <w:t xml:space="preserve">29.1</w:t>
            </w:r>
          </w:p>
        </w:tc>
      </w:tr>
      <w:tr>
        <w:tc>
          <w:tcPr>
            <w:tcW w:w="2838" w:type="dxa"/>
          </w:tcPr>
          <w:p>
            <w:pPr/>
            <w:r>
              <w:t xml:space="preserve">Rain (mm)</w:t>
            </w:r>
          </w:p>
        </w:tc>
        <w:tc>
          <w:tcPr>
            <w:tcW w:w="1297" w:type="dxa"/>
          </w:tcPr>
          <w:p>
            <w:pPr>
              <w:jc w:val="right"/>
            </w:pPr>
            <w:r>
              <w:t xml:space="preserve">0.1</w:t>
            </w:r>
          </w:p>
        </w:tc>
        <w:tc>
          <w:tcPr>
            <w:tcW w:w="1304" w:type="dxa"/>
          </w:tcPr>
          <w:p>
            <w:pPr>
              <w:jc w:val="right"/>
            </w:pPr>
            <w:r>
              <w:t xml:space="preserve">0.0</w:t>
            </w:r>
          </w:p>
        </w:tc>
        <w:tc>
          <w:tcPr>
            <w:tcW w:w="1297" w:type="dxa"/>
          </w:tcPr>
          <w:p>
            <w:pPr>
              <w:jc w:val="right"/>
            </w:pPr>
            <w:r>
              <w:t xml:space="preserve">0.8</w:t>
            </w:r>
          </w:p>
        </w:tc>
        <w:tc>
          <w:tcPr>
            <w:tcW w:w="1169" w:type="dxa"/>
          </w:tcPr>
          <w:p>
            <w:pPr>
              <w:jc w:val="right"/>
            </w:pPr>
            <w:r>
              <w:t xml:space="preserve">0.0</w:t>
            </w:r>
          </w:p>
        </w:tc>
        <w:tc>
          <w:tcPr>
            <w:tcW w:w="1453" w:type="dxa"/>
          </w:tcPr>
          <w:p>
            <w:pPr>
              <w:jc w:val="right"/>
            </w:pPr>
            <w:r>
              <w:t xml:space="preserve">72.5</w:t>
            </w:r>
          </w:p>
        </w:tc>
      </w:tr>
      <w:tr>
        <w:tc>
          <w:tcPr>
            <w:tcW w:w="2838" w:type="dxa"/>
          </w:tcPr>
          <w:p>
            <w:pPr/>
            <w:r>
              <w:t xml:space="preserve">Wind speed (m/s)</w:t>
            </w:r>
          </w:p>
        </w:tc>
        <w:tc>
          <w:tcPr>
            <w:tcW w:w="1297" w:type="dxa"/>
          </w:tcPr>
          <w:p>
            <w:pPr>
              <w:jc w:val="right"/>
            </w:pPr>
            <w:r>
              <w:t xml:space="preserve">1.7</w:t>
            </w:r>
          </w:p>
        </w:tc>
        <w:tc>
          <w:tcPr>
            <w:tcW w:w="1304" w:type="dxa"/>
          </w:tcPr>
          <w:p>
            <w:pPr>
              <w:jc w:val="right"/>
            </w:pPr>
            <w:r>
              <w:t xml:space="preserve">1.4</w:t>
            </w:r>
          </w:p>
        </w:tc>
        <w:tc>
          <w:tcPr>
            <w:tcW w:w="1297" w:type="dxa"/>
          </w:tcPr>
          <w:p>
            <w:pPr>
              <w:jc w:val="right"/>
            </w:pPr>
            <w:r>
              <w:t xml:space="preserve">1.2</w:t>
            </w:r>
          </w:p>
        </w:tc>
        <w:tc>
          <w:tcPr>
            <w:tcW w:w="1169" w:type="dxa"/>
          </w:tcPr>
          <w:p>
            <w:pPr>
              <w:jc w:val="right"/>
            </w:pPr>
            <w:r>
              <w:t xml:space="preserve">0.0</w:t>
            </w:r>
          </w:p>
        </w:tc>
        <w:tc>
          <w:tcPr>
            <w:tcW w:w="1453" w:type="dxa"/>
          </w:tcPr>
          <w:p>
            <w:pPr>
              <w:jc w:val="right"/>
            </w:pPr>
            <w:r>
              <w:t xml:space="preserve">13.2</w:t>
            </w:r>
          </w:p>
        </w:tc>
      </w:tr>
    </w:tbl>
    <w:p>
      <w:pPr/>
      <w:r>
        <w:t xml:space="preserve">PM2.5 is strongly right-skewed (skewness 2.01): the mean (79.8) sits well above the median (55.0), the 99th percentile is 370 and the maximum is 999. Most hours are moderate, with rare, extreme pollution episodes. The other pollutants show the same pattern, while the weather variables are roughly symmetric. Station means for PM2.5 range from 66.0 (Dingling, suburban) to 86.2 (Dongsi, central).</w:t>
      </w:r>
    </w:p>
    <w:p>
      <w:pPr>
        <w:pStyle w:val="Heading2"/>
      </w:pPr>
      <w:r>
        <w:t xml:space="preserve">3. Task 1B: Analytical questions</w:t>
      </w:r>
    </w:p>
    <w:p>
      <w:pPr/>
      <w:r>
        <w:t xml:space="preserve">We asked six questions. The strongest finding is persistence: this hour's PM2.5 almost fully predicts the next hour's (r = 0.97), but that link fades within a day. Questions 4 and 5 use lagged features and moving averages, as the assignment requires. Figures are computed from the raw data; lag and moving-average questions use the Dongsi station so that shifts never cross between stations.</w:t>
      </w:r>
    </w:p>
    <w:p>
      <w:pPr>
        <w:pStyle w:val="Heading3"/>
      </w:pPr>
      <w:r>
        <w:t xml:space="preserve">Q1. Does PM2.5 have a trend or a seasonal pattern?</w:t>
      </w:r>
    </w:p>
    <w:p>
      <w:pPr/>
      <w:r>
        <w:drawing>
          <wp:inline distT="0" distB="0" distL="0" distR="0">
            <wp:extent cx="5486400" cy="2432957"/>
            <wp:docPr id="1" name="image1" descr="Computed from the 12 station CSVs · monthly means averaged by calendar month"/>
            <a:graphic xmlns:a="http://schemas.openxmlformats.org/drawingml/2006/main">
              <a:graphicData uri="http://schemas.openxmlformats.org/drawingml/2006/picture">
                <pic:pic xmlns:pic="http://schemas.openxmlformats.org/drawingml/2006/picture">
                  <pic:nvPicPr>
                    <pic:cNvPr id="1" name="image1" descr="Computed from the 12 station CSVs · monthly means averaged by calendar month"/>
                    <pic:cNvPicPr/>
                  </pic:nvPicPr>
                  <pic:blipFill>
                    <a:blip r:embed="rId6"/>
                    <a:stretch>
                      <a:fillRect/>
                    </a:stretch>
                  </pic:blipFill>
                  <pic:spPr>
                    <a:xfrm>
                      <a:off x="0" y="0"/>
                      <a:ext cx="5486400" cy="2432957"/>
                    </a:xfrm>
                    <a:prstGeom prst="rect">
                      <a:avLst/>
                    </a:prstGeom>
                  </pic:spPr>
                </pic:pic>
              </a:graphicData>
            </a:graphic>
          </wp:inline>
        </w:drawing>
      </w:r>
    </w:p>
    <w:p>
      <w:pPr/>
      <w:r>
        <w:t xml:space="preserve">Computed from the 12 station CSVs · monthly means averaged by calendar month</w:t>
      </w:r>
    </w:p>
    <w:p>
      <w:pPr/>
      <w:r>
        <w:t xml:space="preserve">Seasonality dominates. December averages 103.9 μg/m³ and August 53.5, almost a 2× swing, consistent with winter coal heating and temperature inversions that trap pollution near the ground. The long-term trend is mildly downward: averaged over March-to-February years, PM2.5 fell from 86.7 (2013–14) to 81.3 and 73.1, then rose to 78.1 in 2016–17. Four years is too short to call this a lasting decline, and even the cleanest month is over 3 times the WHO 24-hour guideline.</w:t>
      </w:r>
    </w:p>
    <w:p>
      <w:pPr>
        <w:pStyle w:val="Heading3"/>
      </w:pPr>
      <w:r>
        <w:t xml:space="preserve">Q2. Which stations are the most polluted?</w:t>
      </w:r>
    </w:p>
    <w:p>
      <w:pPr/>
      <w:r>
        <w:drawing>
          <wp:inline distT="0" distB="0" distL="0" distR="0">
            <wp:extent cx="5486400" cy="2996292"/>
            <wp:docPr id="2" name="image2" descr="Computed from the 12 station CSVs · same values as SQL Q3 and MongoDB MQ3"/>
            <a:graphic xmlns:a="http://schemas.openxmlformats.org/drawingml/2006/main">
              <a:graphicData uri="http://schemas.openxmlformats.org/drawingml/2006/picture">
                <pic:pic xmlns:pic="http://schemas.openxmlformats.org/drawingml/2006/picture">
                  <pic:nvPicPr>
                    <pic:cNvPr id="2" name="image2" descr="Computed from the 12 station CSVs · same values as SQL Q3 and MongoDB MQ3"/>
                    <pic:cNvPicPr/>
                  </pic:nvPicPr>
                  <pic:blipFill>
                    <a:blip r:embed="rId7"/>
                    <a:stretch>
                      <a:fillRect/>
                    </a:stretch>
                  </pic:blipFill>
                  <pic:spPr>
                    <a:xfrm>
                      <a:off x="0" y="0"/>
                      <a:ext cx="5486400" cy="2996292"/>
                    </a:xfrm>
                    <a:prstGeom prst="rect">
                      <a:avLst/>
                    </a:prstGeom>
                  </pic:spPr>
                </pic:pic>
              </a:graphicData>
            </a:graphic>
          </wp:inline>
        </w:drawing>
      </w:r>
    </w:p>
    <w:p>
      <w:pPr/>
      <w:r>
        <w:t xml:space="preserve">Computed from the 12 station CSVs · same values as SQL Q3 and MongoDB MQ3</w:t>
      </w:r>
    </w:p>
    <w:p>
      <w:pPr/>
      <w:r>
        <w:t xml:space="preserve">Nine stations cluster tightly between 79.5 and 86.2 μg/m³, led by central Dongsi. The three outlying northern stations (Changping, Huairou, Dingling) are 13–20 μg/m³ lower, consistent with less traffic and heating density away from the city. Even the cleanest station averages 13 times the WHO annual guideline (5 μg/m³). We modelled Dongsi because it is the most polluted station and the most important to forecast.</w:t>
      </w:r>
    </w:p>
    <w:p>
      <w:pPr>
        <w:pStyle w:val="Heading3"/>
      </w:pPr>
      <w:r>
        <w:t xml:space="preserve">Q3. Do weather variables correlate with PM2.5?</w:t>
      </w:r>
    </w:p>
    <w:p>
      <w:pPr/>
      <w:r>
        <w:drawing>
          <wp:inline distT="0" distB="0" distL="0" distR="0">
            <wp:extent cx="5486400" cy="2204357"/>
            <wp:docPr id="3" name="image3" descr="Computed from the 12 station CSVs · pairwise-complete Pearson r over 420,768 hours"/>
            <a:graphic xmlns:a="http://schemas.openxmlformats.org/drawingml/2006/main">
              <a:graphicData uri="http://schemas.openxmlformats.org/drawingml/2006/picture">
                <pic:pic xmlns:pic="http://schemas.openxmlformats.org/drawingml/2006/picture">
                  <pic:nvPicPr>
                    <pic:cNvPr id="3" name="image3" descr="Computed from the 12 station CSVs · pairwise-complete Pearson r over 420,768 hours"/>
                    <pic:cNvPicPr/>
                  </pic:nvPicPr>
                  <pic:blipFill>
                    <a:blip r:embed="rId8"/>
                    <a:stretch>
                      <a:fillRect/>
                    </a:stretch>
                  </pic:blipFill>
                  <pic:spPr>
                    <a:xfrm>
                      <a:off x="0" y="0"/>
                      <a:ext cx="5486400" cy="2204357"/>
                    </a:xfrm>
                    <a:prstGeom prst="rect">
                      <a:avLst/>
                    </a:prstGeom>
                  </pic:spPr>
                </pic:pic>
              </a:graphicData>
            </a:graphic>
          </wp:inline>
        </w:drawing>
      </w:r>
    </w:p>
    <w:p>
      <w:pPr/>
      <w:r>
        <w:t xml:space="preserve">Computed from the 12 station CSVs · pairwise-complete Pearson r over 420,768 hours</w:t>
      </w:r>
    </w:p>
    <w:p>
      <w:pPr/>
      <w:r>
        <w:t xml:space="preserve">Only weakly, and wind matters most. Higher wind speed goes with lower PM2.5 (r = −0.27), as wind disperses particles. Warmer hours are slightly cleaner (r = −0.13), and humid hours slightly dirtier (dew point r = +0.12), consistent with stagnant, moist winter air. Rain and pressure show almost no linear link. No single weather variable explains much, which is why the model leans on the pollutant history instead (Q4).</w:t>
      </w:r>
    </w:p>
    <w:p>
      <w:pPr>
        <w:pStyle w:val="Heading3"/>
      </w:pPr>
      <w:r>
        <w:t xml:space="preserve">Q4. Are there lag effects? (lagged features)</w:t>
      </w:r>
    </w:p>
    <w:p>
      <w:pPr/>
      <w:r>
        <w:t xml:space="preserve">We built lagged features </w:t>
      </w:r>
      <w:r>
        <w:rPr>
          <w:rStyle w:val="CodeChar"/>
        </w:rPr>
        <w:t xml:space="preserve">PM2.5_lag_k = PM2.5.shift(k)</w:t>
      </w:r>
      <w:r>
        <w:t xml:space="preserve"> on the time-ordered Dongsi series and correlated each with the current value.</w:t>
      </w:r>
    </w:p>
    <w:p>
      <w:pPr/>
      <w:r>
        <w:drawing>
          <wp:inline distT="0" distB="0" distL="0" distR="0">
            <wp:extent cx="5486400" cy="2506435"/>
            <wp:docPr id="4" name="image4" descr="Computed from PRSA_Data_Dongsi · PM2.5 vs PM2.5.shift(k) for k = 1, 2, 3, 6, 12, 24"/>
            <a:graphic xmlns:a="http://schemas.openxmlformats.org/drawingml/2006/main">
              <a:graphicData uri="http://schemas.openxmlformats.org/drawingml/2006/picture">
                <pic:pic xmlns:pic="http://schemas.openxmlformats.org/drawingml/2006/picture">
                  <pic:nvPicPr>
                    <pic:cNvPr id="4" name="image4" descr="Computed from PRSA_Data_Dongsi · PM2.5 vs PM2.5.shift(k) for k = 1, 2, 3, 6, 12, 24"/>
                    <pic:cNvPicPr/>
                  </pic:nvPicPr>
                  <pic:blipFill>
                    <a:blip r:embed="rId9"/>
                    <a:stretch>
                      <a:fillRect/>
                    </a:stretch>
                  </pic:blipFill>
                  <pic:spPr>
                    <a:xfrm>
                      <a:off x="0" y="0"/>
                      <a:ext cx="5486400" cy="2506435"/>
                    </a:xfrm>
                    <a:prstGeom prst="rect">
                      <a:avLst/>
                    </a:prstGeom>
                  </pic:spPr>
                </pic:pic>
              </a:graphicData>
            </a:graphic>
          </wp:inline>
        </w:drawing>
      </w:r>
    </w:p>
    <w:p>
      <w:pPr/>
      <w:r>
        <w:t xml:space="preserve">Computed from PRSA_Data_Dongsi · PM2.5 vs PM2.5.shift(k) for k = 1, 2, 3, 6, 12, 24</w:t>
      </w:r>
    </w:p>
    <w:p>
      <w:pPr/>
      <w:r>
        <w:t xml:space="preserve">PM2.5 is highly persistent. The previous hour alone correlates at r = 0.97 with the current hour, so pollution episodes build and clear over many hours rather than switching on and off. The link decays steadily: 0.88 after 3 hours, 0.58 after 12 and 0.40 after 24. For one-hour-ahead forecasting, the most recent reading is by far the best predictor. This explains why current PM2.5 carries 97.7% of the model's feature importance.</w:t>
      </w:r>
    </w:p>
    <w:p>
      <w:pPr>
        <w:pStyle w:val="Heading3"/>
      </w:pPr>
      <w:r>
        <w:t xml:space="preserve">Q5. Do moving averages help forecast the next hour? (moving averages)</w:t>
      </w:r>
    </w:p>
    <w:p>
      <w:pPr/>
      <w:r>
        <w:t xml:space="preserve">We computed trailing moving averages </w:t>
      </w:r>
      <w:r>
        <w:rPr>
          <w:rStyle w:val="CodeChar"/>
        </w:rPr>
        <w:t xml:space="preserve">PM2.5.rolling(window).mean()</w:t>
      </w:r>
      <w:r>
        <w:t xml:space="preserve"> at Dongsi for windows from 3 hours to 7 days, then plotted the hourly series against its 24-hour average (January–February 2016) and correlated each average with the next hour's PM2.5.</w:t>
      </w:r>
    </w:p>
    <w:p>
      <w:pPr/>
      <w:r>
        <w:drawing>
          <wp:inline distT="0" distB="0" distL="0" distR="0">
            <wp:extent cx="5486400" cy="2432957"/>
            <wp:docPr id="5" name="image5" descr="Computed from PRSA_Data_Dongsi · PM2.5.rolling(window).mean() vs PM2.5.shift(-1)"/>
            <a:graphic xmlns:a="http://schemas.openxmlformats.org/drawingml/2006/main">
              <a:graphicData uri="http://schemas.openxmlformats.org/drawingml/2006/picture">
                <pic:pic xmlns:pic="http://schemas.openxmlformats.org/drawingml/2006/picture">
                  <pic:nvPicPr>
                    <pic:cNvPr id="5" name="image5" descr="Computed from PRSA_Data_Dongsi · PM2.5.rolling(window).mean() vs PM2.5.shift(-1)"/>
                    <pic:cNvPicPr/>
                  </pic:nvPicPr>
                  <pic:blipFill>
                    <a:blip r:embed="rId10"/>
                    <a:stretch>
                      <a:fillRect/>
                    </a:stretch>
                  </pic:blipFill>
                  <pic:spPr>
                    <a:xfrm>
                      <a:off x="0" y="0"/>
                      <a:ext cx="5486400" cy="2432957"/>
                    </a:xfrm>
                    <a:prstGeom prst="rect">
                      <a:avLst/>
                    </a:prstGeom>
                  </pic:spPr>
                </pic:pic>
              </a:graphicData>
            </a:graphic>
          </wp:inline>
        </w:drawing>
      </w:r>
    </w:p>
    <w:p>
      <w:pPr/>
      <w:r>
        <w:t xml:space="preserve">Computed from PRSA_Data_Dongsi · PM2.5.rolling(window).mean() vs PM2.5.shift(-1)</w:t>
      </w:r>
    </w:p>
    <w:p>
      <w:pPr/>
      <w:r>
        <w:t xml:space="preserve">Moving averages answer a different question from lag features. Smoothing removes noise: the standard deviation of daily-mean PM2.5 drops from 73.9 to 26.2 μg/m³ under a 30-day average, which exposes the seasonal cycle in Q1. But every extra hour of averaging blurs the most recent reading, so next-hour correlation falls from 0.97 (current value) to 0.72 (24 h) and 0.29 (7 days). For short-term forecasting, a moving average is useful as trend context alongside the latest value, not as a replacement for it.</w:t>
      </w:r>
    </w:p>
    <w:p>
      <w:pPr>
        <w:pStyle w:val="Heading3"/>
      </w:pPr>
      <w:r>
        <w:t xml:space="preserve">Q6. Is there a daily cycle?</w:t>
      </w:r>
    </w:p>
    <w:p>
      <w:pPr/>
      <w:r>
        <w:drawing>
          <wp:inline distT="0" distB="0" distL="0" distR="0">
            <wp:extent cx="5486400" cy="2506435"/>
            <wp:docPr id="6" name="image6" descr="Computed from the 12 station CSVs · mean PM2.5 grouped by the hour column"/>
            <a:graphic xmlns:a="http://schemas.openxmlformats.org/drawingml/2006/main">
              <a:graphicData uri="http://schemas.openxmlformats.org/drawingml/2006/picture">
                <pic:pic xmlns:pic="http://schemas.openxmlformats.org/drawingml/2006/picture">
                  <pic:nvPicPr>
                    <pic:cNvPr id="6" name="image6" descr="Computed from the 12 station CSVs · mean PM2.5 grouped by the hour column"/>
                    <pic:cNvPicPr/>
                  </pic:nvPicPr>
                  <pic:blipFill>
                    <a:blip r:embed="rId11"/>
                    <a:stretch>
                      <a:fillRect/>
                    </a:stretch>
                  </pic:blipFill>
                  <pic:spPr>
                    <a:xfrm>
                      <a:off x="0" y="0"/>
                      <a:ext cx="5486400" cy="2506435"/>
                    </a:xfrm>
                    <a:prstGeom prst="rect">
                      <a:avLst/>
                    </a:prstGeom>
                  </pic:spPr>
                </pic:pic>
              </a:graphicData>
            </a:graphic>
          </wp:inline>
        </w:drawing>
      </w:r>
    </w:p>
    <w:p>
      <w:pPr/>
      <w:r>
        <w:t xml:space="preserve">Computed from the 12 station CSVs · mean PM2.5 grouped by the hour column</w:t>
      </w:r>
    </w:p>
    <w:p>
      <w:pPr/>
      <w:r>
        <w:t xml:space="preserve">Yes. PM2.5 climbs through the evening to a peak of 88.9 μg/m³ at 22:00, stays high overnight, and bottoms out at 73.3 at 07:00, about 21% lower. The evening rise matches rush-hour traffic, heating and a shallow night-time boundary layer that traps particles; daytime mixing disperses them. This cycle is why </w:t>
      </w:r>
      <w:r>
        <w:rPr>
          <w:rStyle w:val="CodeChar"/>
        </w:rPr>
        <w:t xml:space="preserve">hour</w:t>
      </w:r>
      <w:r>
        <w:t xml:space="preserve"> is a model feature.</w:t>
      </w:r>
    </w:p>
    <w:p>
      <w:pPr>
        <w:pStyle w:val="Heading2"/>
      </w:pPr>
      <w:r>
        <w:t xml:space="preserve">4. Task 1C: Model training and experiments</w:t>
      </w:r>
    </w:p>
    <w:p>
      <w:pPr/>
      <w:r>
        <w:t xml:space="preserve">The tuned Random Forest predicts next-hour PM2.5 at Dongsi with MAE 11.15 μg/m³ and R² 0.945 on an unseen final 20% of the timeline.</w:t>
      </w:r>
    </w:p>
    <w:p>
      <w:pPr/>
      <w:r>
        <w:rPr>
          <w:b/>
        </w:rPr>
        <w:t xml:space="preserve">Model choice.</w:t>
      </w:r>
      <w:r>
        <w:t xml:space="preserve"> We used a scikit-learn </w:t>
      </w:r>
      <w:r>
        <w:rPr>
          <w:rStyle w:val="CodeChar"/>
        </w:rPr>
        <w:t xml:space="preserve">Pipeline</w:t>
      </w:r>
      <w:r>
        <w:t xml:space="preserve"> of a median </w:t>
      </w:r>
      <w:r>
        <w:rPr>
          <w:rStyle w:val="CodeChar"/>
        </w:rPr>
        <w:t xml:space="preserve">SimpleImputer</w:t>
      </w:r>
      <w:r>
        <w:t xml:space="preserve"> followed by a </w:t>
      </w:r>
      <w:r>
        <w:rPr>
          <w:rStyle w:val="CodeChar"/>
        </w:rPr>
        <w:t xml:space="preserve">RandomForestRegressor</w:t>
      </w:r>
      <w:r>
        <w:t xml:space="preserve">. A Random Forest captures non-linear effects (such as wind dispersing pollution only above some speed) without feature scaling, tolerates the skewed inputs, and reports feature importances we can interpret. Keeping the imputer inside the pipeline means the saved model carries its own preprocessing, which Task 4 relies on.</w:t>
      </w:r>
    </w:p>
    <w:p>
      <w:pPr/>
      <w:r>
        <w:rPr>
          <w:b/>
        </w:rPr>
        <w:t xml:space="preserve">Features and target.</w:t>
      </w:r>
      <w:r>
        <w:t xml:space="preserve"> Thirteen features describe the current hour: the 6 pollutants, 5 weather variables (</w:t>
      </w:r>
      <w:r>
        <w:rPr>
          <w:rStyle w:val="CodeChar"/>
        </w:rPr>
        <w:t xml:space="preserve">TEMP</w:t>
      </w:r>
      <w:r>
        <w:t xml:space="preserve">, </w:t>
      </w:r>
      <w:r>
        <w:rPr>
          <w:rStyle w:val="CodeChar"/>
        </w:rPr>
        <w:t xml:space="preserve">PRES</w:t>
      </w:r>
      <w:r>
        <w:t xml:space="preserve">, </w:t>
      </w:r>
      <w:r>
        <w:rPr>
          <w:rStyle w:val="CodeChar"/>
        </w:rPr>
        <w:t xml:space="preserve">DEWP</w:t>
      </w:r>
      <w:r>
        <w:t xml:space="preserve">, </w:t>
      </w:r>
      <w:r>
        <w:rPr>
          <w:rStyle w:val="CodeChar"/>
        </w:rPr>
        <w:t xml:space="preserve">RAIN</w:t>
      </w:r>
      <w:r>
        <w:t xml:space="preserve">, </w:t>
      </w:r>
      <w:r>
        <w:rPr>
          <w:rStyle w:val="CodeChar"/>
        </w:rPr>
        <w:t xml:space="preserve">WSPM</w:t>
      </w:r>
      <w:r>
        <w:t xml:space="preserve">) and the calendar features </w:t>
      </w:r>
      <w:r>
        <w:rPr>
          <w:rStyle w:val="CodeChar"/>
        </w:rPr>
        <w:t xml:space="preserve">hour</w:t>
      </w:r>
      <w:r>
        <w:t xml:space="preserve"> and </w:t>
      </w:r>
      <w:r>
        <w:rPr>
          <w:rStyle w:val="CodeChar"/>
        </w:rPr>
        <w:t xml:space="preserve">month</w:t>
      </w:r>
      <w:r>
        <w:t xml:space="preserve">. The target is PM2.5 shifted one hour forward.</w:t>
      </w:r>
    </w:p>
    <w:p>
      <w:pPr/>
      <w:r>
        <w:rPr>
          <w:b/>
        </w:rPr>
        <w:t xml:space="preserve">Time-based split.</w:t>
      </w:r>
      <w:r>
        <w:t xml:space="preserve"> Rows were kept in time order and split 80/20 with no shuffling, so the model is always tested on the future:</w:t>
      </w:r>
    </w:p>
    <w:tbl>
      <w:tblPr>
        <w:tblStyle w:val="TableGrid"/>
        <w:tblW w:w="0" w:type="auto"/>
        <w:tblLayout w:type="fixed"/>
        <w:tblLook w:val="04A0" w:firstRow="1" w:lastRow="0" w:firstColumn="0" w:lastColumn="0" w:noHBand="0" w:noVBand="1"/>
      </w:tblPr>
      <w:tblGrid>
        <w:gridCol w:w="1693"/>
        <w:gridCol w:w="6273"/>
        <w:gridCol w:w="1392"/>
      </w:tblGrid>
      <w:tr>
        <w:trPr>
          <w:tblHeader/>
        </w:trPr>
        <w:tc>
          <w:tcPr>
            <w:tcW w:w="1693" w:type="dxa"/>
            <w:shd w:val="clear" w:color="auto" w:fill="F2F2F2"/>
          </w:tcPr>
          <w:p>
            <w:pPr/>
            <w:r>
              <w:t xml:space="preserve">Set</w:t>
            </w:r>
          </w:p>
        </w:tc>
        <w:tc>
          <w:tcPr>
            <w:tcW w:w="6273" w:type="dxa"/>
            <w:shd w:val="clear" w:color="auto" w:fill="F2F2F2"/>
          </w:tcPr>
          <w:p>
            <w:pPr/>
            <w:r>
              <w:t xml:space="preserve">Period</w:t>
            </w:r>
          </w:p>
        </w:tc>
        <w:tc>
          <w:tcPr>
            <w:tcW w:w="1392" w:type="dxa"/>
            <w:shd w:val="clear" w:color="auto" w:fill="F2F2F2"/>
          </w:tcPr>
          <w:p>
            <w:pPr>
              <w:jc w:val="right"/>
            </w:pPr>
            <w:r>
              <w:t xml:space="preserve">Hours</w:t>
            </w:r>
          </w:p>
        </w:tc>
      </w:tr>
      <w:tr>
        <w:tc>
          <w:tcPr>
            <w:tcW w:w="1693" w:type="dxa"/>
          </w:tcPr>
          <w:p>
            <w:pPr/>
            <w:r>
              <w:t xml:space="preserve">Training</w:t>
            </w:r>
          </w:p>
        </w:tc>
        <w:tc>
          <w:tcPr>
            <w:tcW w:w="6273" w:type="dxa"/>
          </w:tcPr>
          <w:p>
            <w:pPr/>
            <w:r>
              <w:t xml:space="preserve">2013-03-01 00:00 → 2016-05-05 16:00</w:t>
            </w:r>
          </w:p>
        </w:tc>
        <w:tc>
          <w:tcPr>
            <w:tcW w:w="1392" w:type="dxa"/>
          </w:tcPr>
          <w:p>
            <w:pPr>
              <w:jc w:val="right"/>
            </w:pPr>
            <w:r>
              <w:t xml:space="preserve">27,450</w:t>
            </w:r>
          </w:p>
        </w:tc>
      </w:tr>
      <w:tr>
        <w:tc>
          <w:tcPr>
            <w:tcW w:w="1693" w:type="dxa"/>
          </w:tcPr>
          <w:p>
            <w:pPr/>
            <w:r>
              <w:t xml:space="preserve">Test</w:t>
            </w:r>
          </w:p>
        </w:tc>
        <w:tc>
          <w:tcPr>
            <w:tcW w:w="6273" w:type="dxa"/>
          </w:tcPr>
          <w:p>
            <w:pPr/>
            <w:r>
              <w:t xml:space="preserve">2016-05-05 17:00 → 2017-02-28 22:00</w:t>
            </w:r>
          </w:p>
        </w:tc>
        <w:tc>
          <w:tcPr>
            <w:tcW w:w="1392" w:type="dxa"/>
          </w:tcPr>
          <w:p>
            <w:pPr>
              <w:jc w:val="right"/>
            </w:pPr>
            <w:r>
              <w:t xml:space="preserve">6,863</w:t>
            </w:r>
          </w:p>
        </w:tc>
      </w:tr>
    </w:tbl>
    <w:p>
      <w:pPr/>
      <w:r>
        <w:rPr>
          <w:b/>
        </w:rPr>
        <w:t xml:space="preserve">Hyperparameter tuning.</w:t>
      </w:r>
      <w:r>
        <w:t xml:space="preserve"> </w:t>
      </w:r>
      <w:r>
        <w:rPr>
          <w:rStyle w:val="CodeChar"/>
        </w:rPr>
        <w:t xml:space="preserve">RandomizedSearchCV</w:t>
      </w:r>
      <w:r>
        <w:t xml:space="preserve"> sampled 6 of 27 combinations of </w:t>
      </w:r>
      <w:r>
        <w:rPr>
          <w:rStyle w:val="CodeChar"/>
        </w:rPr>
        <w:t xml:space="preserve">n_estimators</w:t>
      </w:r>
      <w:r>
        <w:t xml:space="preserve"> ∈ {50, 100, 150}, </w:t>
      </w:r>
      <w:r>
        <w:rPr>
          <w:rStyle w:val="CodeChar"/>
        </w:rPr>
        <w:t xml:space="preserve">max_depth</w:t>
      </w:r>
      <w:r>
        <w:t xml:space="preserve"> ∈ {10, 20, None} and </w:t>
      </w:r>
      <w:r>
        <w:rPr>
          <w:rStyle w:val="CodeChar"/>
        </w:rPr>
        <w:t xml:space="preserve">min_samples_leaf</w:t>
      </w:r>
      <w:r>
        <w:t xml:space="preserve"> ∈ {1, 2, 5}. It scored by MAE using </w:t>
      </w:r>
      <w:r>
        <w:rPr>
          <w:rStyle w:val="CodeChar"/>
        </w:rPr>
        <w:t xml:space="preserve">TimeSeriesSplit</w:t>
      </w:r>
      <w:r>
        <w:t xml:space="preserve"> (3 folds), so every validation fold lies after its training fold. To keep the search fast, it ran on the first 12,000 training hours; the winning settings were then refit on the full training set. The best settings were </w:t>
      </w:r>
      <w:r>
        <w:rPr>
          <w:b/>
        </w:rPr>
        <w:t xml:space="preserve">150 trees, max depth 10, min 5 samples per leaf</w:t>
      </w:r>
      <w:r>
        <w:t xml:space="preserve">: shallower, more regularised trees than the default.</w:t>
      </w:r>
    </w:p>
    <w:p>
      <w:pPr/>
      <w:r>
        <w:rPr>
          <w:b/>
        </w:rPr>
        <w:t xml:space="preserve">Experiment table</w:t>
      </w:r>
      <w:r>
        <w:t xml:space="preserve"> (test set, Dongsi):</w:t>
      </w:r>
    </w:p>
    <w:tbl>
      <w:tblPr>
        <w:tblStyle w:val="TableGrid"/>
        <w:tblW w:w="0" w:type="auto"/>
        <w:tblLayout w:type="fixed"/>
        <w:tblLook w:val="04A0" w:firstRow="1" w:lastRow="0" w:firstColumn="0" w:lastColumn="0" w:noHBand="0" w:noVBand="1"/>
      </w:tblPr>
      <w:tblGrid>
        <w:gridCol w:w="3407"/>
        <w:gridCol w:w="2185"/>
        <w:gridCol w:w="1787"/>
        <w:gridCol w:w="1189"/>
        <w:gridCol w:w="791"/>
      </w:tblGrid>
      <w:tr>
        <w:trPr>
          <w:tblHeader/>
        </w:trPr>
        <w:tc>
          <w:tcPr>
            <w:tcW w:w="3407" w:type="dxa"/>
            <w:shd w:val="clear" w:color="auto" w:fill="F2F2F2"/>
          </w:tcPr>
          <w:p>
            <w:pPr/>
            <w:r>
              <w:t xml:space="preserve">Experiment</w:t>
            </w:r>
          </w:p>
        </w:tc>
        <w:tc>
          <w:tcPr>
            <w:tcW w:w="2185" w:type="dxa"/>
            <w:shd w:val="clear" w:color="auto" w:fill="F2F2F2"/>
          </w:tcPr>
          <w:p>
            <w:pPr/>
            <w:r>
              <w:t xml:space="preserve">Settings</w:t>
            </w:r>
          </w:p>
        </w:tc>
        <w:tc>
          <w:tcPr>
            <w:tcW w:w="1787" w:type="dxa"/>
            <w:shd w:val="clear" w:color="auto" w:fill="F2F2F2"/>
          </w:tcPr>
          <w:p>
            <w:pPr>
              <w:jc w:val="right"/>
            </w:pPr>
            <w:r>
              <w:t xml:space="preserve">MAE (μg/m³)</w:t>
            </w:r>
          </w:p>
        </w:tc>
        <w:tc>
          <w:tcPr>
            <w:tcW w:w="1189" w:type="dxa"/>
            <w:shd w:val="clear" w:color="auto" w:fill="F2F2F2"/>
          </w:tcPr>
          <w:p>
            <w:pPr>
              <w:jc w:val="right"/>
            </w:pPr>
            <w:r>
              <w:t xml:space="preserve">RMSE (μg/m³)</w:t>
            </w:r>
          </w:p>
        </w:tc>
        <w:tc>
          <w:tcPr>
            <w:tcW w:w="791" w:type="dxa"/>
            <w:shd w:val="clear" w:color="auto" w:fill="F2F2F2"/>
          </w:tcPr>
          <w:p>
            <w:pPr>
              <w:jc w:val="right"/>
            </w:pPr>
            <w:r>
              <w:t xml:space="preserve">R²</w:t>
            </w:r>
          </w:p>
        </w:tc>
      </w:tr>
      <w:tr>
        <w:tc>
          <w:tcPr>
            <w:tcW w:w="3407" w:type="dxa"/>
          </w:tcPr>
          <w:p>
            <w:pPr/>
            <w:r>
              <w:t xml:space="preserve">Reference: persistence (next hour = this hour)</w:t>
            </w:r>
          </w:p>
        </w:tc>
        <w:tc>
          <w:tcPr>
            <w:tcW w:w="2185" w:type="dxa"/>
          </w:tcPr>
          <w:p>
            <w:pPr/>
            <w:r>
              <w:t xml:space="preserve">none</w:t>
            </w:r>
          </w:p>
        </w:tc>
        <w:tc>
          <w:tcPr>
            <w:tcW w:w="1787" w:type="dxa"/>
          </w:tcPr>
          <w:p>
            <w:pPr>
              <w:jc w:val="right"/>
            </w:pPr>
            <w:r>
              <w:t xml:space="preserve">11.392</w:t>
            </w:r>
          </w:p>
        </w:tc>
        <w:tc>
          <w:tcPr>
            <w:tcW w:w="1189" w:type="dxa"/>
          </w:tcPr>
          <w:p>
            <w:pPr>
              <w:jc w:val="right"/>
            </w:pPr>
            <w:r>
              <w:t xml:space="preserve">22.454</w:t>
            </w:r>
          </w:p>
        </w:tc>
        <w:tc>
          <w:tcPr>
            <w:tcW w:w="791" w:type="dxa"/>
          </w:tcPr>
          <w:p>
            <w:pPr>
              <w:jc w:val="right"/>
            </w:pPr>
            <w:r>
              <w:t xml:space="preserve">0.941</w:t>
            </w:r>
          </w:p>
        </w:tc>
      </w:tr>
      <w:tr>
        <w:tc>
          <w:tcPr>
            <w:tcW w:w="3407" w:type="dxa"/>
          </w:tcPr>
          <w:p>
            <w:pPr/>
            <w:r>
              <w:t xml:space="preserve">Experiment 1: Random Forest baseline</w:t>
            </w:r>
          </w:p>
        </w:tc>
        <w:tc>
          <w:tcPr>
            <w:tcW w:w="2185" w:type="dxa"/>
          </w:tcPr>
          <w:p>
            <w:pPr/>
            <w:r>
              <w:t xml:space="preserve">100 trees, unlimited depth, min leaf 1</w:t>
            </w:r>
          </w:p>
        </w:tc>
        <w:tc>
          <w:tcPr>
            <w:tcW w:w="1787" w:type="dxa"/>
          </w:tcPr>
          <w:p>
            <w:pPr>
              <w:jc w:val="right"/>
            </w:pPr>
            <w:r>
              <w:t xml:space="preserve">11.558</w:t>
            </w:r>
          </w:p>
        </w:tc>
        <w:tc>
          <w:tcPr>
            <w:tcW w:w="1189" w:type="dxa"/>
          </w:tcPr>
          <w:p>
            <w:pPr>
              <w:jc w:val="right"/>
            </w:pPr>
            <w:r>
              <w:t xml:space="preserve">22.164</w:t>
            </w:r>
          </w:p>
        </w:tc>
        <w:tc>
          <w:tcPr>
            <w:tcW w:w="791" w:type="dxa"/>
          </w:tcPr>
          <w:p>
            <w:pPr>
              <w:jc w:val="right"/>
            </w:pPr>
            <w:r>
              <w:t xml:space="preserve">0.942</w:t>
            </w:r>
          </w:p>
        </w:tc>
      </w:tr>
      <w:tr>
        <w:tc>
          <w:tcPr>
            <w:tcW w:w="3407" w:type="dxa"/>
          </w:tcPr>
          <w:p>
            <w:pPr/>
            <w:r>
              <w:t xml:space="preserve">Experiment 2: Tuned Random Forest</w:t>
            </w:r>
          </w:p>
        </w:tc>
        <w:tc>
          <w:tcPr>
            <w:tcW w:w="2185" w:type="dxa"/>
          </w:tcPr>
          <w:p>
            <w:pPr/>
            <w:r>
              <w:t xml:space="preserve">150 trees, depth 10, min leaf 5</w:t>
            </w:r>
          </w:p>
        </w:tc>
        <w:tc>
          <w:tcPr>
            <w:tcW w:w="1787" w:type="dxa"/>
          </w:tcPr>
          <w:p>
            <w:pPr>
              <w:jc w:val="right"/>
            </w:pPr>
            <w:r>
              <w:rPr>
                <w:b/>
              </w:rPr>
              <w:t xml:space="preserve">11.146</w:t>
            </w:r>
          </w:p>
        </w:tc>
        <w:tc>
          <w:tcPr>
            <w:tcW w:w="1189" w:type="dxa"/>
          </w:tcPr>
          <w:p>
            <w:pPr>
              <w:jc w:val="right"/>
            </w:pPr>
            <w:r>
              <w:rPr>
                <w:b/>
              </w:rPr>
              <w:t xml:space="preserve">21.615</w:t>
            </w:r>
          </w:p>
        </w:tc>
        <w:tc>
          <w:tcPr>
            <w:tcW w:w="791" w:type="dxa"/>
          </w:tcPr>
          <w:p>
            <w:pPr>
              <w:jc w:val="right"/>
            </w:pPr>
            <w:r>
              <w:rPr>
                <w:b/>
              </w:rPr>
              <w:t xml:space="preserve">0.945</w:t>
            </w:r>
          </w:p>
        </w:tc>
      </w:tr>
    </w:tbl>
    <w:p>
      <w:pPr/>
      <w:r>
        <w:t xml:space="preserve">Tuning cut MAE by 3.6% and RMSE by 2.5% against the baseline forest. The persistence row puts this in context: because PM2.5 is so persistent (Q4), simply repeating the current value is already a strong forecast. The untuned forest did not beat it on MAE, while the tuned forest beats it on all three metrics. It gains most on RMSE, meaning it handles large swings better.</w:t>
      </w:r>
    </w:p>
    <w:p>
      <w:pPr/>
      <w:r>
        <w:rPr>
          <w:b/>
        </w:rPr>
        <w:t xml:space="preserve">Feature importance.</w:t>
      </w:r>
      <w:r>
        <w:t xml:space="preserve"> Current PM2.5 accounts for 97.70% of the tuned model's importance, followed by PM10 (0.48%) and wind speed (0.44%). This matches the r = 0.97 lag-1 autocorrelation found in Q4. Importance shows what the model relies on, not cause and effect.</w:t>
      </w:r>
    </w:p>
    <w:p>
      <w:pPr/>
      <w:r>
        <w:t xml:space="preserve">The tuned pipeline is saved as </w:t>
      </w:r>
      <w:r>
        <w:rPr>
          <w:rStyle w:val="CodeChar"/>
        </w:rPr>
        <w:t xml:space="preserve">models/best_rf.joblib</w:t>
      </w:r>
      <w:r>
        <w:t xml:space="preserve">, and reloading it reproduces the Experiment 2 scores exactly.</w:t>
      </w:r>
    </w:p>
    <w:p>
      <w:pPr>
        <w:pStyle w:val="Heading2"/>
      </w:pPr>
      <w:r>
        <w:t xml:space="preserve">5. Task 2: Database design (MySQL and MongoDB)</w:t>
      </w:r>
    </w:p>
    <w:p>
      <w:pPr/>
      <w:r>
        <w:t xml:space="preserve">The same 420,768 readings live in a normalised three-table MySQL schema and in one MongoDB collection of nested documents. Both are hosted (Aiven MySQL 8.4 and MongoDB Atlas) and indexed for the two queries a time series needs most: the latest reading and a date range.</w:t>
      </w:r>
    </w:p>
    <w:p>
      <w:pPr>
        <w:pStyle w:val="Heading3"/>
      </w:pPr>
      <w:r>
        <w:t xml:space="preserve">5.1 Relational schema (MySQL)</w:t>
      </w:r>
    </w:p>
    <w:p>
      <w:pPr/>
      <w:r>
        <w:drawing>
          <wp:inline distT="0" distB="0" distL="0" distR="0">
            <wp:extent cx="5486400" cy="2653392"/>
            <wp:docPr id="7" name="image7" descr="Entity-relationship diagram · 3 tables, from database/schema_mysql.sql"/>
            <a:graphic xmlns:a="http://schemas.openxmlformats.org/drawingml/2006/main">
              <a:graphicData uri="http://schemas.openxmlformats.org/drawingml/2006/picture">
                <pic:pic xmlns:pic="http://schemas.openxmlformats.org/drawingml/2006/picture">
                  <pic:nvPicPr>
                    <pic:cNvPr id="7" name="image7" descr="Entity-relationship diagram · 3 tables, from database/schema_mysql.sql"/>
                    <pic:cNvPicPr/>
                  </pic:nvPicPr>
                  <pic:blipFill>
                    <a:blip r:embed="rId12"/>
                    <a:stretch>
                      <a:fillRect/>
                    </a:stretch>
                  </pic:blipFill>
                  <pic:spPr>
                    <a:xfrm>
                      <a:off x="0" y="0"/>
                      <a:ext cx="5486400" cy="2653392"/>
                    </a:xfrm>
                    <a:prstGeom prst="rect">
                      <a:avLst/>
                    </a:prstGeom>
                  </pic:spPr>
                </pic:pic>
              </a:graphicData>
            </a:graphic>
          </wp:inline>
        </w:drawing>
      </w:r>
    </w:p>
    <w:p>
      <w:pPr/>
      <w:r>
        <w:t xml:space="preserve">Entity-relationship diagram · 3 tables, from database/schema_mysql.sql</w:t>
      </w:r>
    </w:p>
    <w:tbl>
      <w:tblPr>
        <w:tblStyle w:val="TableGrid"/>
        <w:tblW w:w="0" w:type="auto"/>
        <w:tblLayout w:type="fixed"/>
        <w:tblLook w:val="04A0" w:firstRow="1" w:lastRow="0" w:firstColumn="0" w:lastColumn="0" w:noHBand="0" w:noVBand="1"/>
      </w:tblPr>
      <w:tblGrid>
        <w:gridCol w:w="2340"/>
        <w:gridCol w:w="2554"/>
        <w:gridCol w:w="1028"/>
        <w:gridCol w:w="3437"/>
      </w:tblGrid>
      <w:tr>
        <w:trPr>
          <w:tblHeader/>
        </w:trPr>
        <w:tc>
          <w:tcPr>
            <w:tcW w:w="2340" w:type="dxa"/>
            <w:shd w:val="clear" w:color="auto" w:fill="F2F2F2"/>
          </w:tcPr>
          <w:p>
            <w:pPr/>
            <w:r>
              <w:t xml:space="preserve">Table</w:t>
            </w:r>
          </w:p>
        </w:tc>
        <w:tc>
          <w:tcPr>
            <w:tcW w:w="2554" w:type="dxa"/>
            <w:shd w:val="clear" w:color="auto" w:fill="F2F2F2"/>
          </w:tcPr>
          <w:p>
            <w:pPr/>
            <w:r>
              <w:t xml:space="preserve">Role</w:t>
            </w:r>
          </w:p>
        </w:tc>
        <w:tc>
          <w:tcPr>
            <w:tcW w:w="1028" w:type="dxa"/>
            <w:shd w:val="clear" w:color="auto" w:fill="F2F2F2"/>
          </w:tcPr>
          <w:p>
            <w:pPr>
              <w:jc w:val="right"/>
            </w:pPr>
            <w:r>
              <w:t xml:space="preserve">Rows</w:t>
            </w:r>
          </w:p>
        </w:tc>
        <w:tc>
          <w:tcPr>
            <w:tcW w:w="3437" w:type="dxa"/>
            <w:shd w:val="clear" w:color="auto" w:fill="F2F2F2"/>
          </w:tcPr>
          <w:p>
            <w:pPr/>
            <w:r>
              <w:t xml:space="preserve">Key constraints</w:t>
            </w:r>
          </w:p>
        </w:tc>
      </w:tr>
      <w:tr>
        <w:tc>
          <w:tcPr>
            <w:tcW w:w="2340" w:type="dxa"/>
          </w:tcPr>
          <w:p>
            <w:pPr/>
            <w:r>
              <w:rPr>
                <w:rStyle w:val="CodeChar"/>
              </w:rPr>
              <w:t xml:space="preserve">stations</w:t>
            </w:r>
          </w:p>
        </w:tc>
        <w:tc>
          <w:tcPr>
            <w:tcW w:w="2554" w:type="dxa"/>
          </w:tcPr>
          <w:p>
            <w:pPr/>
            <w:r>
              <w:t xml:space="preserve">One row per monitoring station</w:t>
            </w:r>
          </w:p>
        </w:tc>
        <w:tc>
          <w:tcPr>
            <w:tcW w:w="1028" w:type="dxa"/>
          </w:tcPr>
          <w:p>
            <w:pPr>
              <w:jc w:val="right"/>
            </w:pPr>
            <w:r>
              <w:t xml:space="preserve">12</w:t>
            </w:r>
          </w:p>
        </w:tc>
        <w:tc>
          <w:tcPr>
            <w:tcW w:w="3437" w:type="dxa"/>
          </w:tcPr>
          <w:p>
            <w:pPr/>
            <w:r>
              <w:t xml:space="preserve">PK </w:t>
            </w:r>
            <w:r>
              <w:rPr>
                <w:rStyle w:val="CodeChar"/>
              </w:rPr>
              <w:t xml:space="preserve">station_id</w:t>
            </w:r>
            <w:r>
              <w:t xml:space="preserve">; </w:t>
            </w:r>
            <w:r>
              <w:rPr>
                <w:rStyle w:val="CodeChar"/>
              </w:rPr>
              <w:t xml:space="preserve">station_name</w:t>
            </w:r>
            <w:r>
              <w:t xml:space="preserve"> unique</w:t>
            </w:r>
          </w:p>
        </w:tc>
      </w:tr>
      <w:tr>
        <w:tc>
          <w:tcPr>
            <w:tcW w:w="2340" w:type="dxa"/>
          </w:tcPr>
          <w:p>
            <w:pPr/>
            <w:r>
              <w:rPr>
                <w:rStyle w:val="CodeChar"/>
              </w:rPr>
              <w:t xml:space="preserve">readings</w:t>
            </w:r>
          </w:p>
        </w:tc>
        <w:tc>
          <w:tcPr>
            <w:tcW w:w="2554" w:type="dxa"/>
          </w:tcPr>
          <w:p>
            <w:pPr/>
            <w:r>
              <w:t xml:space="preserve">Hourly fact table: 6 pollutants, 6 weather values</w:t>
            </w:r>
          </w:p>
        </w:tc>
        <w:tc>
          <w:tcPr>
            <w:tcW w:w="1028" w:type="dxa"/>
          </w:tcPr>
          <w:p>
            <w:pPr>
              <w:jc w:val="right"/>
            </w:pPr>
            <w:r>
              <w:t xml:space="preserve">420,768</w:t>
            </w:r>
          </w:p>
        </w:tc>
        <w:tc>
          <w:tcPr>
            <w:tcW w:w="3437" w:type="dxa"/>
          </w:tcPr>
          <w:p>
            <w:pPr/>
            <w:r>
              <w:t xml:space="preserve">PK </w:t>
            </w:r>
            <w:r>
              <w:rPr>
                <w:rStyle w:val="CodeChar"/>
              </w:rPr>
              <w:t xml:space="preserve">reading_id</w:t>
            </w:r>
            <w:r>
              <w:t xml:space="preserve">; FK </w:t>
            </w:r>
            <w:r>
              <w:rPr>
                <w:rStyle w:val="CodeChar"/>
              </w:rPr>
              <w:t xml:space="preserve">station_id</w:t>
            </w:r>
            <w:r>
              <w:t xml:space="preserve"> → </w:t>
            </w:r>
            <w:r>
              <w:rPr>
                <w:rStyle w:val="CodeChar"/>
              </w:rPr>
              <w:t xml:space="preserve">stations</w:t>
            </w:r>
            <w:r>
              <w:t xml:space="preserve">; unique (</w:t>
            </w:r>
            <w:r>
              <w:rPr>
                <w:rStyle w:val="CodeChar"/>
              </w:rPr>
              <w:t xml:space="preserve">station_id</w:t>
            </w:r>
            <w:r>
              <w:t xml:space="preserve">, </w:t>
            </w:r>
            <w:r>
              <w:rPr>
                <w:rStyle w:val="CodeChar"/>
              </w:rPr>
              <w:t xml:space="preserve">timestamp</w:t>
            </w:r>
            <w:r>
              <w:t xml:space="preserve">)</w:t>
            </w:r>
          </w:p>
        </w:tc>
      </w:tr>
      <w:tr>
        <w:tc>
          <w:tcPr>
            <w:tcW w:w="2340" w:type="dxa"/>
          </w:tcPr>
          <w:p>
            <w:pPr/>
            <w:r>
              <w:rPr>
                <w:rStyle w:val="CodeChar"/>
              </w:rPr>
              <w:t xml:space="preserve">pollutant_reference</w:t>
            </w:r>
          </w:p>
        </w:tc>
        <w:tc>
          <w:tcPr>
            <w:tcW w:w="2554" w:type="dxa"/>
          </w:tcPr>
          <w:p>
            <w:pPr/>
            <w:r>
              <w:t xml:space="preserve">WHO 2021 guideline per pollutant</w:t>
            </w:r>
          </w:p>
        </w:tc>
        <w:tc>
          <w:tcPr>
            <w:tcW w:w="1028" w:type="dxa"/>
          </w:tcPr>
          <w:p>
            <w:pPr>
              <w:jc w:val="right"/>
            </w:pPr>
            <w:r>
              <w:t xml:space="preserve">6</w:t>
            </w:r>
          </w:p>
        </w:tc>
        <w:tc>
          <w:tcPr>
            <w:tcW w:w="3437" w:type="dxa"/>
          </w:tcPr>
          <w:p>
            <w:pPr/>
            <w:r>
              <w:t xml:space="preserve">PK </w:t>
            </w:r>
            <w:r>
              <w:rPr>
                <w:rStyle w:val="CodeChar"/>
              </w:rPr>
              <w:t xml:space="preserve">pollutant_id</w:t>
            </w:r>
            <w:r>
              <w:t xml:space="preserve">; </w:t>
            </w:r>
            <w:r>
              <w:rPr>
                <w:rStyle w:val="CodeChar"/>
              </w:rPr>
              <w:t xml:space="preserve">code</w:t>
            </w:r>
            <w:r>
              <w:t xml:space="preserve"> unique</w:t>
            </w:r>
          </w:p>
        </w:tc>
      </w:tr>
    </w:tbl>
    <w:p>
      <w:pPr/>
      <w:r>
        <w:t xml:space="preserve">Design choices:</w:t>
      </w:r>
    </w:p>
    <w:p>
      <w:pPr>
        <w:pStyle w:val="ListParagraph"/>
        <w:numPr>
          <w:ilvl w:val="0"/>
          <w:numId w:val="4"/>
        </w:numPr>
      </w:pPr>
      <w:r>
        <w:rPr>
          <w:b/>
        </w:rPr>
        <w:t xml:space="preserve">Normalisation.</w:t>
      </w:r>
      <w:r>
        <w:t xml:space="preserve"> Station names move out of the fact table, so each reading stores a 4-byte id instead of repeating a name 35,064 times.</w:t>
      </w:r>
    </w:p>
    <w:p>
      <w:pPr>
        <w:pStyle w:val="ListParagraph"/>
        <w:numPr>
          <w:ilvl w:val="0"/>
          <w:numId w:val="4"/>
        </w:numPr>
      </w:pPr>
      <w:r>
        <w:rPr>
          <w:b/>
        </w:rPr>
        <w:t xml:space="preserve">Time-series integrity.</w:t>
      </w:r>
      <w:r>
        <w:t xml:space="preserve"> The unique (</w:t>
      </w:r>
      <w:r>
        <w:rPr>
          <w:rStyle w:val="CodeChar"/>
        </w:rPr>
        <w:t xml:space="preserve">station_id</w:t>
      </w:r>
      <w:r>
        <w:t xml:space="preserve">, </w:t>
      </w:r>
      <w:r>
        <w:rPr>
          <w:rStyle w:val="CodeChar"/>
        </w:rPr>
        <w:t xml:space="preserve">timestamp</w:t>
      </w:r>
      <w:r>
        <w:t xml:space="preserve">) key makes a duplicate station-hour impossible; the API turns a violation into HTTP 409.</w:t>
      </w:r>
    </w:p>
    <w:p>
      <w:pPr>
        <w:pStyle w:val="ListParagraph"/>
        <w:numPr>
          <w:ilvl w:val="0"/>
          <w:numId w:val="4"/>
        </w:numPr>
      </w:pPr>
      <w:r>
        <w:rPr>
          <w:b/>
        </w:rPr>
        <w:t xml:space="preserve">Indexes.</w:t>
      </w:r>
      <w:r>
        <w:t xml:space="preserve"> </w:t>
      </w:r>
      <w:r>
        <w:rPr>
          <w:rStyle w:val="CodeChar"/>
        </w:rPr>
        <w:t xml:space="preserve">idx_timestamp</w:t>
      </w:r>
      <w:r>
        <w:t xml:space="preserve"> and </w:t>
      </w:r>
      <w:r>
        <w:rPr>
          <w:rStyle w:val="CodeChar"/>
        </w:rPr>
        <w:t xml:space="preserve">idx_station_ts</w:t>
      </w:r>
      <w:r>
        <w:t xml:space="preserve"> (</w:t>
      </w:r>
      <w:r>
        <w:rPr>
          <w:rStyle w:val="CodeChar"/>
        </w:rPr>
        <w:t xml:space="preserve">station_id</w:t>
      </w:r>
      <w:r>
        <w:t xml:space="preserve">, </w:t>
      </w:r>
      <w:r>
        <w:rPr>
          <w:rStyle w:val="CodeChar"/>
        </w:rPr>
        <w:t xml:space="preserve">timestamp</w:t>
      </w:r>
      <w:r>
        <w:t xml:space="preserve">) serve date-range and latest-record queries without a full scan.</w:t>
      </w:r>
    </w:p>
    <w:p>
      <w:pPr>
        <w:pStyle w:val="ListParagraph"/>
        <w:numPr>
          <w:ilvl w:val="0"/>
          <w:numId w:val="4"/>
        </w:numPr>
      </w:pPr>
      <w:r>
        <w:rPr>
          <w:b/>
        </w:rPr>
        <w:t xml:space="preserve">Reference data, not hard-coded limits.</w:t>
      </w:r>
      <w:r>
        <w:t xml:space="preserve"> Guideline values live in </w:t>
      </w:r>
      <w:r>
        <w:rPr>
          <w:rStyle w:val="CodeChar"/>
        </w:rPr>
        <w:t xml:space="preserve">pollutant_reference</w:t>
      </w:r>
      <w:r>
        <w:t xml:space="preserve">, so threshold queries join to it (Query 5).</w:t>
      </w:r>
    </w:p>
    <w:p>
      <w:pPr>
        <w:pStyle w:val="ListParagraph"/>
        <w:numPr>
          <w:ilvl w:val="0"/>
          <w:numId w:val="4"/>
        </w:numPr>
      </w:pPr>
      <w:r>
        <w:rPr>
          <w:b/>
        </w:rPr>
        <w:t xml:space="preserve">Safe deletes.</w:t>
      </w:r>
      <w:r>
        <w:t xml:space="preserve"> The foreign key uses </w:t>
      </w:r>
      <w:r>
        <w:rPr>
          <w:rStyle w:val="CodeChar"/>
        </w:rPr>
        <w:t xml:space="preserve">ON DELETE RESTRICT</w:t>
      </w:r>
      <w:r>
        <w:t xml:space="preserve">, so a station with readings cannot be deleted.</w:t>
      </w:r>
    </w:p>
    <w:p>
      <w:pPr/>
      <w:r>
        <w:t xml:space="preserve">The DDL is in </w:t>
      </w:r>
      <w:r>
        <w:rPr>
          <w:rStyle w:val="CodeChar"/>
        </w:rPr>
        <w:t xml:space="preserve">database/schema_mysql.sql</w:t>
      </w:r>
      <w:r>
        <w:t xml:space="preserve">.</w:t>
      </w:r>
    </w:p>
    <w:p>
      <w:pPr>
        <w:pStyle w:val="Heading3"/>
      </w:pPr>
      <w:r>
        <w:t xml:space="preserve">5.2 Document design (MongoDB)</w:t>
      </w:r>
    </w:p>
    <w:p>
      <w:pPr/>
      <w:r>
        <w:t xml:space="preserve">Collection </w:t>
      </w:r>
      <w:r>
        <w:rPr>
          <w:rStyle w:val="CodeChar"/>
        </w:rPr>
        <w:t xml:space="preserve">air_quality_readings</w:t>
      </w:r>
      <w:r>
        <w:t xml:space="preserve"> holds one document per station-hour. Pollutants and weather sit in nested sub-documents, mirroring how the data is read; the station name is embedded instead of joined. Calendar parts are stored alongside the timestamp for cheap grouping. Sample document:</w:t>
      </w:r>
    </w:p>
    <w:p>
      <w:pPr>
        <w:pStyle w:val="Code"/>
      </w:pPr>
      <w:bookmarkStart w:id="1" w:name="bongo_lang_json_1"/>
      <w:bookmarkEnd w:id="1"/>
      <w:r>
        <w:t xml:space="preserve">{</w:t>
        <w:br/>
        <w:t xml:space="preserve">  "station": "Dongsi",</w:t>
        <w:br/>
        <w:t xml:space="preserve">  "timestamp": "2017-02-28T23:00:00Z",</w:t>
        <w:br/>
        <w:t xml:space="preserve">  "year": 2017, "month": 2, "day": 28, "hour": 23,</w:t>
        <w:br/>
        <w:t xml:space="preserve">  "pollutants": { "pm25": 30.0, "pm10": 71.0, "so2": 11.0,</w:t>
        <w:br/>
        <w:t xml:space="preserve">                  "no2": 87.0, "co": 1200.0, "o3": 4.0 },</w:t>
        <w:br/>
        <w:t xml:space="preserve">  "weather": { "temp": 8.6, "pressure": 1014.1, "dew_point": -15.9,</w:t>
        <w:br/>
        <w:t xml:space="preserve">               "rainfall": 0.0, "wind_direction": "NNE", "wind_speed": 1.3 }</w:t>
        <w:br/>
        <w:t xml:space="preserve">}</w:t>
      </w:r>
    </w:p>
    <w:p>
      <w:pPr/>
      <w:r>
        <w:t xml:space="preserve">Indexes: a unique compound index on (</w:t>
      </w:r>
      <w:r>
        <w:rPr>
          <w:rStyle w:val="CodeChar"/>
        </w:rPr>
        <w:t xml:space="preserve">station</w:t>
      </w:r>
      <w:r>
        <w:t xml:space="preserve">, </w:t>
      </w:r>
      <w:r>
        <w:rPr>
          <w:rStyle w:val="CodeChar"/>
        </w:rPr>
        <w:t xml:space="preserve">timestamp</w:t>
      </w:r>
      <w:r>
        <w:t xml:space="preserve">), a descending </w:t>
      </w:r>
      <w:r>
        <w:rPr>
          <w:rStyle w:val="CodeChar"/>
        </w:rPr>
        <w:t xml:space="preserve">timestamp</w:t>
      </w:r>
      <w:r>
        <w:t xml:space="preserve"> index for latest-record queries, and </w:t>
      </w:r>
      <w:r>
        <w:rPr>
          <w:rStyle w:val="CodeChar"/>
        </w:rPr>
        <w:t xml:space="preserve">pollutants.pm25</w:t>
      </w:r>
      <w:r>
        <w:t xml:space="preserve"> for threshold queries.</w:t>
      </w:r>
    </w:p>
    <w:tbl>
      <w:tblPr>
        <w:tblStyle w:val="TableGrid"/>
        <w:tblW w:w="0" w:type="auto"/>
        <w:tblLayout w:type="fixed"/>
        <w:tblLook w:val="04A0" w:firstRow="1" w:lastRow="0" w:firstColumn="0" w:lastColumn="0" w:noHBand="0" w:noVBand="1"/>
      </w:tblPr>
      <w:tblGrid>
        <w:gridCol w:w="2427"/>
        <w:gridCol w:w="3005"/>
        <w:gridCol w:w="3928"/>
      </w:tblGrid>
      <w:tr>
        <w:trPr>
          <w:tblHeader/>
        </w:trPr>
        <w:tc>
          <w:tcPr>
            <w:tcW w:w="2427" w:type="dxa"/>
            <w:shd w:val="clear" w:color="auto" w:fill="F2F2F2"/>
          </w:tcPr>
          <w:p>
            <w:pPr/>
            <w:r>
              <w:t xml:space="preserve">Aspect</w:t>
            </w:r>
          </w:p>
        </w:tc>
        <w:tc>
          <w:tcPr>
            <w:tcW w:w="3005" w:type="dxa"/>
            <w:shd w:val="clear" w:color="auto" w:fill="F2F2F2"/>
          </w:tcPr>
          <w:p>
            <w:pPr/>
            <w:r>
              <w:t xml:space="preserve">MySQL </w:t>
            </w:r>
            <w:r>
              <w:rPr>
                <w:rStyle w:val="CodeChar"/>
              </w:rPr>
              <w:t xml:space="preserve">readings</w:t>
            </w:r>
          </w:p>
        </w:tc>
        <w:tc>
          <w:tcPr>
            <w:tcW w:w="3928" w:type="dxa"/>
            <w:shd w:val="clear" w:color="auto" w:fill="F2F2F2"/>
          </w:tcPr>
          <w:p>
            <w:pPr/>
            <w:r>
              <w:t xml:space="preserve">MongoDB </w:t>
            </w:r>
            <w:r>
              <w:rPr>
                <w:rStyle w:val="CodeChar"/>
              </w:rPr>
              <w:t xml:space="preserve">air_quality_readings</w:t>
            </w:r>
          </w:p>
        </w:tc>
      </w:tr>
      <w:tr>
        <w:tc>
          <w:tcPr>
            <w:tcW w:w="2427" w:type="dxa"/>
          </w:tcPr>
          <w:p>
            <w:pPr/>
            <w:r>
              <w:t xml:space="preserve">Shape</w:t>
            </w:r>
          </w:p>
        </w:tc>
        <w:tc>
          <w:tcPr>
            <w:tcW w:w="3005" w:type="dxa"/>
          </w:tcPr>
          <w:p>
            <w:pPr/>
            <w:r>
              <w:t xml:space="preserve">Flat row, 15 columns</w:t>
            </w:r>
          </w:p>
        </w:tc>
        <w:tc>
          <w:tcPr>
            <w:tcW w:w="3928" w:type="dxa"/>
          </w:tcPr>
          <w:p>
            <w:pPr/>
            <w:r>
              <w:t xml:space="preserve">Nested </w:t>
            </w:r>
            <w:r>
              <w:rPr>
                <w:rStyle w:val="CodeChar"/>
              </w:rPr>
              <w:t xml:space="preserve">pollutants</w:t>
            </w:r>
            <w:r>
              <w:t xml:space="preserve"> / </w:t>
            </w:r>
            <w:r>
              <w:rPr>
                <w:rStyle w:val="CodeChar"/>
              </w:rPr>
              <w:t xml:space="preserve">weather</w:t>
            </w:r>
            <w:r>
              <w:t xml:space="preserve"> sub-documents</w:t>
            </w:r>
          </w:p>
        </w:tc>
      </w:tr>
      <w:tr>
        <w:tc>
          <w:tcPr>
            <w:tcW w:w="2427" w:type="dxa"/>
          </w:tcPr>
          <w:p>
            <w:pPr/>
            <w:r>
              <w:t xml:space="preserve">Station</w:t>
            </w:r>
          </w:p>
        </w:tc>
        <w:tc>
          <w:tcPr>
            <w:tcW w:w="3005" w:type="dxa"/>
          </w:tcPr>
          <w:p>
            <w:pPr/>
            <w:r>
              <w:t xml:space="preserve">Foreign key to </w:t>
            </w:r>
            <w:r>
              <w:rPr>
                <w:rStyle w:val="CodeChar"/>
              </w:rPr>
              <w:t xml:space="preserve">stations</w:t>
            </w:r>
          </w:p>
        </w:tc>
        <w:tc>
          <w:tcPr>
            <w:tcW w:w="3928" w:type="dxa"/>
          </w:tcPr>
          <w:p>
            <w:pPr/>
            <w:r>
              <w:t xml:space="preserve">Embedded string</w:t>
            </w:r>
          </w:p>
        </w:tc>
      </w:tr>
      <w:tr>
        <w:tc>
          <w:tcPr>
            <w:tcW w:w="2427" w:type="dxa"/>
          </w:tcPr>
          <w:p>
            <w:pPr/>
            <w:r>
              <w:t xml:space="preserve">Schema enforcement</w:t>
            </w:r>
          </w:p>
        </w:tc>
        <w:tc>
          <w:tcPr>
            <w:tcW w:w="3005" w:type="dxa"/>
          </w:tcPr>
          <w:p>
            <w:pPr/>
            <w:r>
              <w:t xml:space="preserve">DDL types and constraints</w:t>
            </w:r>
          </w:p>
        </w:tc>
        <w:tc>
          <w:tcPr>
            <w:tcW w:w="3928" w:type="dxa"/>
          </w:tcPr>
          <w:p>
            <w:pPr/>
            <w:r>
              <w:t xml:space="preserve">Unique index + API validation</w:t>
            </w:r>
          </w:p>
        </w:tc>
      </w:tr>
      <w:tr>
        <w:tc>
          <w:tcPr>
            <w:tcW w:w="2427" w:type="dxa"/>
          </w:tcPr>
          <w:p>
            <w:pPr/>
            <w:r>
              <w:t xml:space="preserve">Query style</w:t>
            </w:r>
          </w:p>
        </w:tc>
        <w:tc>
          <w:tcPr>
            <w:tcW w:w="3005" w:type="dxa"/>
          </w:tcPr>
          <w:p>
            <w:pPr/>
            <w:r>
              <w:t xml:space="preserve">SQL joins and </w:t>
            </w:r>
            <w:r>
              <w:rPr>
                <w:rStyle w:val="CodeChar"/>
              </w:rPr>
              <w:t xml:space="preserve">GROUP BY</w:t>
            </w:r>
          </w:p>
        </w:tc>
        <w:tc>
          <w:tcPr>
            <w:tcW w:w="3928" w:type="dxa"/>
          </w:tcPr>
          <w:p>
            <w:pPr/>
            <w:r>
              <w:rPr>
                <w:rStyle w:val="CodeChar"/>
              </w:rPr>
              <w:t xml:space="preserve">find()</w:t>
            </w:r>
            <w:r>
              <w:t xml:space="preserve"> and aggregation pipelines</w:t>
            </w:r>
          </w:p>
        </w:tc>
      </w:tr>
    </w:tbl>
    <w:p>
      <w:pPr>
        <w:pStyle w:val="Heading3"/>
      </w:pPr>
      <w:r>
        <w:t xml:space="preserve">5.3 SQL queries and results</w:t>
      </w:r>
    </w:p>
    <w:p>
      <w:pPr/>
      <w:r>
        <w:rPr>
          <w:b/>
        </w:rPr>
        <w:t xml:space="preserve">Q1. Latest reading per station.</w:t>
      </w:r>
      <w:r>
        <w:t xml:space="preserve"> A subquery finds </w:t>
      </w:r>
      <w:r>
        <w:rPr>
          <w:rStyle w:val="CodeChar"/>
        </w:rPr>
        <w:t xml:space="preserve">MAX(timestamp)</w:t>
      </w:r>
      <w:r>
        <w:t xml:space="preserve"> per station and joins it back. All 12 stations return 2017-02-28 23:00, the final hour, e.g. Dongsi PM2.5 30.0, PM10 71.0, 8.6 °C, wind NNE 1.3 m/s.</w:t>
      </w:r>
    </w:p>
    <w:p>
      <w:pPr/>
      <w:r>
        <w:rPr>
          <w:b/>
        </w:rPr>
        <w:t xml:space="preserve">Q2. Date range: Dongsi, 1–7 January 2016.</w:t>
      </w:r>
    </w:p>
    <w:p>
      <w:pPr>
        <w:pStyle w:val="Code"/>
      </w:pPr>
      <w:bookmarkStart w:id="2" w:name="bongo_lang_sql_2"/>
      <w:bookmarkEnd w:id="2"/>
      <w:r>
        <w:t xml:space="preserve">SELECT s.station_name, r.timestamp, r.pm25, r.pm10, r.temp, r.wind_direction</w:t>
        <w:br/>
        <w:t xml:space="preserve">FROM readings r JOIN stations s ON r.station_id = s.station_id</w:t>
        <w:br/>
        <w:t xml:space="preserve">WHERE s.station_name = 'Dongsi'</w:t>
        <w:br/>
        <w:t xml:space="preserve">  AND r.timestamp BETWEEN '2016-01-01 00:00:00' AND '2016-01-07 23:00:00'</w:t>
        <w:br/>
        <w:t xml:space="preserve">ORDER BY r.timestamp;</w:t>
      </w:r>
    </w:p>
    <w:p>
      <w:pPr/>
      <w:r>
        <w:t xml:space="preserve">Result: 168 rows (7 days × 24 hours, none missing). It starts in a heavy episode: PM2.5 200, 193, 219 μg/m³ in the first three hours of the year.</w:t>
      </w:r>
    </w:p>
    <w:p>
      <w:pPr/>
      <w:r>
        <w:rPr>
          <w:b/>
        </w:rPr>
        <w:t xml:space="preserve">Q3. Average, maximum and missing PM2.5 per station</w:t>
      </w:r>
      <w:r>
        <w:t xml:space="preserve"> (</w:t>
      </w:r>
      <w:r>
        <w:rPr>
          <w:rStyle w:val="CodeChar"/>
        </w:rPr>
        <w:t xml:space="preserve">AVG</w:t>
      </w:r>
      <w:r>
        <w:t xml:space="preserve">, </w:t>
      </w:r>
      <w:r>
        <w:rPr>
          <w:rStyle w:val="CodeChar"/>
        </w:rPr>
        <w:t xml:space="preserve">MAX</w:t>
      </w:r>
      <w:r>
        <w:t xml:space="preserve">, </w:t>
      </w:r>
      <w:r>
        <w:rPr>
          <w:rStyle w:val="CodeChar"/>
        </w:rPr>
        <w:t xml:space="preserve">SUM(CASE WHEN pm25 IS NULL …)</w:t>
      </w:r>
      <w:r>
        <w:t xml:space="preserve"> grouped by station). Dongsi has the highest mean (86.19); Dingling the lowest (65.99); missing PM2.5 ranges from 1.1% (Wanliu) to 2.7% (Huairou).</w:t>
      </w:r>
    </w:p>
    <w:p>
      <w:pPr/>
      <w:r>
        <w:rPr>
          <w:b/>
        </w:rPr>
        <w:t xml:space="preserve">Q4. Monthly average PM2.5</w:t>
      </w:r>
      <w:r>
        <w:t xml:space="preserve"> (</w:t>
      </w:r>
      <w:r>
        <w:rPr>
          <w:rStyle w:val="CodeChar"/>
        </w:rPr>
        <w:t xml:space="preserve">DATE_FORMAT(timestamp, '%Y-%m')</w:t>
      </w:r>
      <w:r>
        <w:t xml:space="preserve">, 48 months). The worst months were December 2015 (150.52), February 2014 (148.32) and December 2016 (129.19); the cleanest were February 2016 (42.82) and August 2015 (44.18).</w:t>
      </w:r>
    </w:p>
    <w:p>
      <w:pPr/>
      <w:r>
        <w:rPr>
          <w:b/>
        </w:rPr>
        <w:t xml:space="preserve">Q5. WHO guideline exceedance</w:t>
      </w:r>
      <w:r>
        <w:t xml:space="preserve"> (joins </w:t>
      </w:r>
      <w:r>
        <w:rPr>
          <w:rStyle w:val="CodeChar"/>
        </w:rPr>
        <w:t xml:space="preserve">readings</w:t>
      </w:r>
      <w:r>
        <w:t xml:space="preserve"> to </w:t>
      </w:r>
      <w:r>
        <w:rPr>
          <w:rStyle w:val="CodeChar"/>
        </w:rPr>
        <w:t xml:space="preserve">pollutant_reference</w:t>
      </w:r>
      <w:r>
        <w:t xml:space="preserve">, so the 15 μg/m³ limit is not hard-coded):</w:t>
      </w:r>
    </w:p>
    <w:tbl>
      <w:tblPr>
        <w:tblStyle w:val="TableGrid"/>
        <w:tblW w:w="0" w:type="auto"/>
        <w:tblLayout w:type="fixed"/>
        <w:tblLook w:val="04A0" w:firstRow="1" w:lastRow="0" w:firstColumn="0" w:lastColumn="0" w:noHBand="0" w:noVBand="1"/>
      </w:tblPr>
      <w:tblGrid>
        <w:gridCol w:w="2061"/>
        <w:gridCol w:w="1605"/>
        <w:gridCol w:w="2502"/>
        <w:gridCol w:w="1435"/>
        <w:gridCol w:w="1754"/>
      </w:tblGrid>
      <w:tr>
        <w:trPr>
          <w:tblHeader/>
        </w:trPr>
        <w:tc>
          <w:tcPr>
            <w:tcW w:w="2061" w:type="dxa"/>
            <w:shd w:val="clear" w:color="auto" w:fill="F2F2F2"/>
          </w:tcPr>
          <w:p>
            <w:pPr/>
            <w:r>
              <w:t xml:space="preserve">Station</w:t>
            </w:r>
          </w:p>
        </w:tc>
        <w:tc>
          <w:tcPr>
            <w:tcW w:w="1605" w:type="dxa"/>
            <w:shd w:val="clear" w:color="auto" w:fill="F2F2F2"/>
          </w:tcPr>
          <w:p>
            <w:pPr>
              <w:jc w:val="right"/>
            </w:pPr>
            <w:r>
              <w:t xml:space="preserve">Valid hours</w:t>
            </w:r>
          </w:p>
        </w:tc>
        <w:tc>
          <w:tcPr>
            <w:tcW w:w="2502" w:type="dxa"/>
            <w:shd w:val="clear" w:color="auto" w:fill="F2F2F2"/>
          </w:tcPr>
          <w:p>
            <w:pPr>
              <w:jc w:val="right"/>
            </w:pPr>
            <w:r>
              <w:t xml:space="preserve">Hours &gt; 15 μg/m³</w:t>
            </w:r>
          </w:p>
        </w:tc>
        <w:tc>
          <w:tcPr>
            <w:tcW w:w="1435" w:type="dxa"/>
            <w:shd w:val="clear" w:color="auto" w:fill="F2F2F2"/>
          </w:tcPr>
          <w:p>
            <w:pPr>
              <w:jc w:val="right"/>
            </w:pPr>
            <w:r>
              <w:t xml:space="preserve">Share (%)</w:t>
            </w:r>
          </w:p>
        </w:tc>
        <w:tc>
          <w:tcPr>
            <w:tcW w:w="1754" w:type="dxa"/>
            <w:shd w:val="clear" w:color="auto" w:fill="F2F2F2"/>
          </w:tcPr>
          <w:p>
            <w:pPr>
              <w:jc w:val="right"/>
            </w:pPr>
            <w:r>
              <w:t xml:space="preserve">Mean PM2.5</w:t>
            </w:r>
          </w:p>
        </w:tc>
      </w:tr>
      <w:tr>
        <w:tc>
          <w:tcPr>
            <w:tcW w:w="2061" w:type="dxa"/>
          </w:tcPr>
          <w:p>
            <w:pPr/>
            <w:r>
              <w:t xml:space="preserve">Guanyuan</w:t>
            </w:r>
          </w:p>
        </w:tc>
        <w:tc>
          <w:tcPr>
            <w:tcW w:w="1605" w:type="dxa"/>
          </w:tcPr>
          <w:p>
            <w:pPr>
              <w:jc w:val="right"/>
            </w:pPr>
            <w:r>
              <w:t xml:space="preserve">34,448</w:t>
            </w:r>
          </w:p>
        </w:tc>
        <w:tc>
          <w:tcPr>
            <w:tcW w:w="2502" w:type="dxa"/>
          </w:tcPr>
          <w:p>
            <w:pPr>
              <w:jc w:val="right"/>
            </w:pPr>
            <w:r>
              <w:t xml:space="preserve">28,695</w:t>
            </w:r>
          </w:p>
        </w:tc>
        <w:tc>
          <w:tcPr>
            <w:tcW w:w="1435" w:type="dxa"/>
          </w:tcPr>
          <w:p>
            <w:pPr>
              <w:jc w:val="right"/>
            </w:pPr>
            <w:r>
              <w:t xml:space="preserve">83.3</w:t>
            </w:r>
          </w:p>
        </w:tc>
        <w:tc>
          <w:tcPr>
            <w:tcW w:w="1754" w:type="dxa"/>
          </w:tcPr>
          <w:p>
            <w:pPr>
              <w:jc w:val="right"/>
            </w:pPr>
            <w:r>
              <w:t xml:space="preserve">82.93</w:t>
            </w:r>
          </w:p>
        </w:tc>
      </w:tr>
      <w:tr>
        <w:tc>
          <w:tcPr>
            <w:tcW w:w="2061" w:type="dxa"/>
          </w:tcPr>
          <w:p>
            <w:pPr/>
            <w:r>
              <w:t xml:space="preserve">Gucheng</w:t>
            </w:r>
          </w:p>
        </w:tc>
        <w:tc>
          <w:tcPr>
            <w:tcW w:w="1605" w:type="dxa"/>
          </w:tcPr>
          <w:p>
            <w:pPr>
              <w:jc w:val="right"/>
            </w:pPr>
            <w:r>
              <w:t xml:space="preserve">34,418</w:t>
            </w:r>
          </w:p>
        </w:tc>
        <w:tc>
          <w:tcPr>
            <w:tcW w:w="2502" w:type="dxa"/>
          </w:tcPr>
          <w:p>
            <w:pPr>
              <w:jc w:val="right"/>
            </w:pPr>
            <w:r>
              <w:t xml:space="preserve">28,573</w:t>
            </w:r>
          </w:p>
        </w:tc>
        <w:tc>
          <w:tcPr>
            <w:tcW w:w="1435" w:type="dxa"/>
          </w:tcPr>
          <w:p>
            <w:pPr>
              <w:jc w:val="right"/>
            </w:pPr>
            <w:r>
              <w:t xml:space="preserve">83.0</w:t>
            </w:r>
          </w:p>
        </w:tc>
        <w:tc>
          <w:tcPr>
            <w:tcW w:w="1754" w:type="dxa"/>
          </w:tcPr>
          <w:p>
            <w:pPr>
              <w:jc w:val="right"/>
            </w:pPr>
            <w:r>
              <w:t xml:space="preserve">83.85</w:t>
            </w:r>
          </w:p>
        </w:tc>
      </w:tr>
      <w:tr>
        <w:tc>
          <w:tcPr>
            <w:tcW w:w="2061" w:type="dxa"/>
          </w:tcPr>
          <w:p>
            <w:pPr/>
            <w:r>
              <w:t xml:space="preserve">Wanliu</w:t>
            </w:r>
          </w:p>
        </w:tc>
        <w:tc>
          <w:tcPr>
            <w:tcW w:w="1605" w:type="dxa"/>
          </w:tcPr>
          <w:p>
            <w:pPr>
              <w:jc w:val="right"/>
            </w:pPr>
            <w:r>
              <w:t xml:space="preserve">34,682</w:t>
            </w:r>
          </w:p>
        </w:tc>
        <w:tc>
          <w:tcPr>
            <w:tcW w:w="2502" w:type="dxa"/>
          </w:tcPr>
          <w:p>
            <w:pPr>
              <w:jc w:val="right"/>
            </w:pPr>
            <w:r>
              <w:t xml:space="preserve">28,691</w:t>
            </w:r>
          </w:p>
        </w:tc>
        <w:tc>
          <w:tcPr>
            <w:tcW w:w="1435" w:type="dxa"/>
          </w:tcPr>
          <w:p>
            <w:pPr>
              <w:jc w:val="right"/>
            </w:pPr>
            <w:r>
              <w:t xml:space="preserve">82.7</w:t>
            </w:r>
          </w:p>
        </w:tc>
        <w:tc>
          <w:tcPr>
            <w:tcW w:w="1754" w:type="dxa"/>
          </w:tcPr>
          <w:p>
            <w:pPr>
              <w:jc w:val="right"/>
            </w:pPr>
            <w:r>
              <w:t xml:space="preserve">83.37</w:t>
            </w:r>
          </w:p>
        </w:tc>
      </w:tr>
      <w:tr>
        <w:tc>
          <w:tcPr>
            <w:tcW w:w="2061" w:type="dxa"/>
          </w:tcPr>
          <w:p>
            <w:pPr/>
            <w:r>
              <w:t xml:space="preserve">Aotizhongxin</w:t>
            </w:r>
          </w:p>
        </w:tc>
        <w:tc>
          <w:tcPr>
            <w:tcW w:w="1605" w:type="dxa"/>
          </w:tcPr>
          <w:p>
            <w:pPr>
              <w:jc w:val="right"/>
            </w:pPr>
            <w:r>
              <w:t xml:space="preserve">34,139</w:t>
            </w:r>
          </w:p>
        </w:tc>
        <w:tc>
          <w:tcPr>
            <w:tcW w:w="2502" w:type="dxa"/>
          </w:tcPr>
          <w:p>
            <w:pPr>
              <w:jc w:val="right"/>
            </w:pPr>
            <w:r>
              <w:t xml:space="preserve">28,022</w:t>
            </w:r>
          </w:p>
        </w:tc>
        <w:tc>
          <w:tcPr>
            <w:tcW w:w="1435" w:type="dxa"/>
          </w:tcPr>
          <w:p>
            <w:pPr>
              <w:jc w:val="right"/>
            </w:pPr>
            <w:r>
              <w:t xml:space="preserve">82.1</w:t>
            </w:r>
          </w:p>
        </w:tc>
        <w:tc>
          <w:tcPr>
            <w:tcW w:w="1754" w:type="dxa"/>
          </w:tcPr>
          <w:p>
            <w:pPr>
              <w:jc w:val="right"/>
            </w:pPr>
            <w:r>
              <w:t xml:space="preserve">82.77</w:t>
            </w:r>
          </w:p>
        </w:tc>
      </w:tr>
      <w:tr>
        <w:tc>
          <w:tcPr>
            <w:tcW w:w="2061" w:type="dxa"/>
          </w:tcPr>
          <w:p>
            <w:pPr/>
            <w:r>
              <w:t xml:space="preserve">Tiantan</w:t>
            </w:r>
          </w:p>
        </w:tc>
        <w:tc>
          <w:tcPr>
            <w:tcW w:w="1605" w:type="dxa"/>
          </w:tcPr>
          <w:p>
            <w:pPr>
              <w:jc w:val="right"/>
            </w:pPr>
            <w:r>
              <w:t xml:space="preserve">34,387</w:t>
            </w:r>
          </w:p>
        </w:tc>
        <w:tc>
          <w:tcPr>
            <w:tcW w:w="2502" w:type="dxa"/>
          </w:tcPr>
          <w:p>
            <w:pPr>
              <w:jc w:val="right"/>
            </w:pPr>
            <w:r>
              <w:t xml:space="preserve">28,149</w:t>
            </w:r>
          </w:p>
        </w:tc>
        <w:tc>
          <w:tcPr>
            <w:tcW w:w="1435" w:type="dxa"/>
          </w:tcPr>
          <w:p>
            <w:pPr>
              <w:jc w:val="right"/>
            </w:pPr>
            <w:r>
              <w:t xml:space="preserve">81.9</w:t>
            </w:r>
          </w:p>
        </w:tc>
        <w:tc>
          <w:tcPr>
            <w:tcW w:w="1754" w:type="dxa"/>
          </w:tcPr>
          <w:p>
            <w:pPr>
              <w:jc w:val="right"/>
            </w:pPr>
            <w:r>
              <w:t xml:space="preserve">82.16</w:t>
            </w:r>
          </w:p>
        </w:tc>
      </w:tr>
      <w:tr>
        <w:tc>
          <w:tcPr>
            <w:tcW w:w="2061" w:type="dxa"/>
          </w:tcPr>
          <w:p>
            <w:pPr/>
            <w:r>
              <w:t xml:space="preserve">Wanshouxigong</w:t>
            </w:r>
          </w:p>
        </w:tc>
        <w:tc>
          <w:tcPr>
            <w:tcW w:w="1605" w:type="dxa"/>
          </w:tcPr>
          <w:p>
            <w:pPr>
              <w:jc w:val="right"/>
            </w:pPr>
            <w:r>
              <w:t xml:space="preserve">34,368</w:t>
            </w:r>
          </w:p>
        </w:tc>
        <w:tc>
          <w:tcPr>
            <w:tcW w:w="2502" w:type="dxa"/>
          </w:tcPr>
          <w:p>
            <w:pPr>
              <w:jc w:val="right"/>
            </w:pPr>
            <w:r>
              <w:t xml:space="preserve">28,138</w:t>
            </w:r>
          </w:p>
        </w:tc>
        <w:tc>
          <w:tcPr>
            <w:tcW w:w="1435" w:type="dxa"/>
          </w:tcPr>
          <w:p>
            <w:pPr>
              <w:jc w:val="right"/>
            </w:pPr>
            <w:r>
              <w:t xml:space="preserve">81.9</w:t>
            </w:r>
          </w:p>
        </w:tc>
        <w:tc>
          <w:tcPr>
            <w:tcW w:w="1754" w:type="dxa"/>
          </w:tcPr>
          <w:p>
            <w:pPr>
              <w:jc w:val="right"/>
            </w:pPr>
            <w:r>
              <w:t xml:space="preserve">85.02</w:t>
            </w:r>
          </w:p>
        </w:tc>
      </w:tr>
      <w:tr>
        <w:tc>
          <w:tcPr>
            <w:tcW w:w="2061" w:type="dxa"/>
          </w:tcPr>
          <w:p>
            <w:pPr/>
            <w:r>
              <w:t xml:space="preserve">Dongsi</w:t>
            </w:r>
          </w:p>
        </w:tc>
        <w:tc>
          <w:tcPr>
            <w:tcW w:w="1605" w:type="dxa"/>
          </w:tcPr>
          <w:p>
            <w:pPr>
              <w:jc w:val="right"/>
            </w:pPr>
            <w:r>
              <w:t xml:space="preserve">34,314</w:t>
            </w:r>
          </w:p>
        </w:tc>
        <w:tc>
          <w:tcPr>
            <w:tcW w:w="2502" w:type="dxa"/>
          </w:tcPr>
          <w:p>
            <w:pPr>
              <w:jc w:val="right"/>
            </w:pPr>
            <w:r>
              <w:t xml:space="preserve">28,017</w:t>
            </w:r>
          </w:p>
        </w:tc>
        <w:tc>
          <w:tcPr>
            <w:tcW w:w="1435" w:type="dxa"/>
          </w:tcPr>
          <w:p>
            <w:pPr>
              <w:jc w:val="right"/>
            </w:pPr>
            <w:r>
              <w:t xml:space="preserve">81.6</w:t>
            </w:r>
          </w:p>
        </w:tc>
        <w:tc>
          <w:tcPr>
            <w:tcW w:w="1754" w:type="dxa"/>
          </w:tcPr>
          <w:p>
            <w:pPr>
              <w:jc w:val="right"/>
            </w:pPr>
            <w:r>
              <w:t xml:space="preserve">86.19</w:t>
            </w:r>
          </w:p>
        </w:tc>
      </w:tr>
      <w:tr>
        <w:tc>
          <w:tcPr>
            <w:tcW w:w="2061" w:type="dxa"/>
          </w:tcPr>
          <w:p>
            <w:pPr/>
            <w:r>
              <w:t xml:space="preserve">Nongzhanguan</w:t>
            </w:r>
          </w:p>
        </w:tc>
        <w:tc>
          <w:tcPr>
            <w:tcW w:w="1605" w:type="dxa"/>
          </w:tcPr>
          <w:p>
            <w:pPr>
              <w:jc w:val="right"/>
            </w:pPr>
            <w:r>
              <w:t xml:space="preserve">34,436</w:t>
            </w:r>
          </w:p>
        </w:tc>
        <w:tc>
          <w:tcPr>
            <w:tcW w:w="2502" w:type="dxa"/>
          </w:tcPr>
          <w:p>
            <w:pPr>
              <w:jc w:val="right"/>
            </w:pPr>
            <w:r>
              <w:t xml:space="preserve">28,078</w:t>
            </w:r>
          </w:p>
        </w:tc>
        <w:tc>
          <w:tcPr>
            <w:tcW w:w="1435" w:type="dxa"/>
          </w:tcPr>
          <w:p>
            <w:pPr>
              <w:jc w:val="right"/>
            </w:pPr>
            <w:r>
              <w:t xml:space="preserve">81.5</w:t>
            </w:r>
          </w:p>
        </w:tc>
        <w:tc>
          <w:tcPr>
            <w:tcW w:w="1754" w:type="dxa"/>
          </w:tcPr>
          <w:p>
            <w:pPr>
              <w:jc w:val="right"/>
            </w:pPr>
            <w:r>
              <w:t xml:space="preserve">84.84</w:t>
            </w:r>
          </w:p>
        </w:tc>
      </w:tr>
      <w:tr>
        <w:tc>
          <w:tcPr>
            <w:tcW w:w="2061" w:type="dxa"/>
          </w:tcPr>
          <w:p>
            <w:pPr/>
            <w:r>
              <w:t xml:space="preserve">Shunyi</w:t>
            </w:r>
          </w:p>
        </w:tc>
        <w:tc>
          <w:tcPr>
            <w:tcW w:w="1605" w:type="dxa"/>
          </w:tcPr>
          <w:p>
            <w:pPr>
              <w:jc w:val="right"/>
            </w:pPr>
            <w:r>
              <w:t xml:space="preserve">34,151</w:t>
            </w:r>
          </w:p>
        </w:tc>
        <w:tc>
          <w:tcPr>
            <w:tcW w:w="2502" w:type="dxa"/>
          </w:tcPr>
          <w:p>
            <w:pPr>
              <w:jc w:val="right"/>
            </w:pPr>
            <w:r>
              <w:t xml:space="preserve">27,134</w:t>
            </w:r>
          </w:p>
        </w:tc>
        <w:tc>
          <w:tcPr>
            <w:tcW w:w="1435" w:type="dxa"/>
          </w:tcPr>
          <w:p>
            <w:pPr>
              <w:jc w:val="right"/>
            </w:pPr>
            <w:r>
              <w:t xml:space="preserve">79.5</w:t>
            </w:r>
          </w:p>
        </w:tc>
        <w:tc>
          <w:tcPr>
            <w:tcW w:w="1754" w:type="dxa"/>
          </w:tcPr>
          <w:p>
            <w:pPr>
              <w:jc w:val="right"/>
            </w:pPr>
            <w:r>
              <w:t xml:space="preserve">79.49</w:t>
            </w:r>
          </w:p>
        </w:tc>
      </w:tr>
      <w:tr>
        <w:tc>
          <w:tcPr>
            <w:tcW w:w="2061" w:type="dxa"/>
          </w:tcPr>
          <w:p>
            <w:pPr/>
            <w:r>
              <w:t xml:space="preserve">Changping</w:t>
            </w:r>
          </w:p>
        </w:tc>
        <w:tc>
          <w:tcPr>
            <w:tcW w:w="1605" w:type="dxa"/>
          </w:tcPr>
          <w:p>
            <w:pPr>
              <w:jc w:val="right"/>
            </w:pPr>
            <w:r>
              <w:t xml:space="preserve">34,290</w:t>
            </w:r>
          </w:p>
        </w:tc>
        <w:tc>
          <w:tcPr>
            <w:tcW w:w="2502" w:type="dxa"/>
          </w:tcPr>
          <w:p>
            <w:pPr>
              <w:jc w:val="right"/>
            </w:pPr>
            <w:r>
              <w:t xml:space="preserve">26,873</w:t>
            </w:r>
          </w:p>
        </w:tc>
        <w:tc>
          <w:tcPr>
            <w:tcW w:w="1435" w:type="dxa"/>
          </w:tcPr>
          <w:p>
            <w:pPr>
              <w:jc w:val="right"/>
            </w:pPr>
            <w:r>
              <w:t xml:space="preserve">78.4</w:t>
            </w:r>
          </w:p>
        </w:tc>
        <w:tc>
          <w:tcPr>
            <w:tcW w:w="1754" w:type="dxa"/>
          </w:tcPr>
          <w:p>
            <w:pPr>
              <w:jc w:val="right"/>
            </w:pPr>
            <w:r>
              <w:t xml:space="preserve">71.10</w:t>
            </w:r>
          </w:p>
        </w:tc>
      </w:tr>
      <w:tr>
        <w:tc>
          <w:tcPr>
            <w:tcW w:w="2061" w:type="dxa"/>
          </w:tcPr>
          <w:p>
            <w:pPr/>
            <w:r>
              <w:t xml:space="preserve">Huairou</w:t>
            </w:r>
          </w:p>
        </w:tc>
        <w:tc>
          <w:tcPr>
            <w:tcW w:w="1605" w:type="dxa"/>
          </w:tcPr>
          <w:p>
            <w:pPr>
              <w:jc w:val="right"/>
            </w:pPr>
            <w:r>
              <w:t xml:space="preserve">34,111</w:t>
            </w:r>
          </w:p>
        </w:tc>
        <w:tc>
          <w:tcPr>
            <w:tcW w:w="2502" w:type="dxa"/>
          </w:tcPr>
          <w:p>
            <w:pPr>
              <w:jc w:val="right"/>
            </w:pPr>
            <w:r>
              <w:t xml:space="preserve">26,445</w:t>
            </w:r>
          </w:p>
        </w:tc>
        <w:tc>
          <w:tcPr>
            <w:tcW w:w="1435" w:type="dxa"/>
          </w:tcPr>
          <w:p>
            <w:pPr>
              <w:jc w:val="right"/>
            </w:pPr>
            <w:r>
              <w:t xml:space="preserve">77.5</w:t>
            </w:r>
          </w:p>
        </w:tc>
        <w:tc>
          <w:tcPr>
            <w:tcW w:w="1754" w:type="dxa"/>
          </w:tcPr>
          <w:p>
            <w:pPr>
              <w:jc w:val="right"/>
            </w:pPr>
            <w:r>
              <w:t xml:space="preserve">69.63</w:t>
            </w:r>
          </w:p>
        </w:tc>
      </w:tr>
      <w:tr>
        <w:tc>
          <w:tcPr>
            <w:tcW w:w="2061" w:type="dxa"/>
          </w:tcPr>
          <w:p>
            <w:pPr/>
            <w:r>
              <w:t xml:space="preserve">Dingling</w:t>
            </w:r>
          </w:p>
        </w:tc>
        <w:tc>
          <w:tcPr>
            <w:tcW w:w="1605" w:type="dxa"/>
          </w:tcPr>
          <w:p>
            <w:pPr>
              <w:jc w:val="right"/>
            </w:pPr>
            <w:r>
              <w:t xml:space="preserve">34,285</w:t>
            </w:r>
          </w:p>
        </w:tc>
        <w:tc>
          <w:tcPr>
            <w:tcW w:w="2502" w:type="dxa"/>
          </w:tcPr>
          <w:p>
            <w:pPr>
              <w:jc w:val="right"/>
            </w:pPr>
            <w:r>
              <w:t xml:space="preserve">24,822</w:t>
            </w:r>
          </w:p>
        </w:tc>
        <w:tc>
          <w:tcPr>
            <w:tcW w:w="1435" w:type="dxa"/>
          </w:tcPr>
          <w:p>
            <w:pPr>
              <w:jc w:val="right"/>
            </w:pPr>
            <w:r>
              <w:t xml:space="preserve">72.4</w:t>
            </w:r>
          </w:p>
        </w:tc>
        <w:tc>
          <w:tcPr>
            <w:tcW w:w="1754" w:type="dxa"/>
          </w:tcPr>
          <w:p>
            <w:pPr>
              <w:jc w:val="right"/>
            </w:pPr>
            <w:r>
              <w:t xml:space="preserve">65.99</w:t>
            </w:r>
          </w:p>
        </w:tc>
      </w:tr>
    </w:tbl>
    <w:p>
      <w:pPr/>
      <w:r>
        <w:t xml:space="preserve">Every station exceeds the 24-hour guideline in at least 72% of hours, and every station mean is over 13 times the annual guideline of 5 μg/m³.</w:t>
      </w:r>
    </w:p>
    <w:p>
      <w:pPr>
        <w:pStyle w:val="Heading3"/>
      </w:pPr>
      <w:r>
        <w:t xml:space="preserve">5.4 MongoDB queries and results</w:t>
      </w:r>
    </w:p>
    <w:p>
      <w:pPr/>
      <w:r>
        <w:rPr>
          <w:b/>
        </w:rPr>
        <w:t xml:space="preserve">MQ1. Latest reading for a station:</w:t>
      </w:r>
      <w:r>
        <w:t xml:space="preserve"> </w:t>
      </w:r>
      <w:r>
        <w:rPr>
          <w:rStyle w:val="CodeChar"/>
        </w:rPr>
        <w:t xml:space="preserve">find({station: "Dongsi"}).sort({timestamp: -1}).limit(1)</w:t>
      </w:r>
      <w:r>
        <w:t xml:space="preserve"> returns the 2017-02-28 23:00 document, identical to SQL Q1.</w:t>
      </w:r>
    </w:p>
    <w:p>
      <w:pPr/>
      <w:r>
        <w:rPr>
          <w:b/>
        </w:rPr>
        <w:t xml:space="preserve">MQ2. Date range:</w:t>
      </w:r>
      <w:r>
        <w:t xml:space="preserve"> </w:t>
      </w:r>
      <w:r>
        <w:rPr>
          <w:rStyle w:val="CodeChar"/>
        </w:rPr>
        <w:t xml:space="preserve">find({station: "Dongsi", timestamp: {$gte: ISODate("2016-01-01T00:00"), $lte: ISODate("2016-01-07T23:00")}}).sort({timestamp: 1})</w:t>
      </w:r>
      <w:r>
        <w:t xml:space="preserve"> returns 168 documents, matching SQL Q2 row for row.</w:t>
      </w:r>
    </w:p>
    <w:p>
      <w:pPr/>
      <w:r>
        <w:rPr>
          <w:b/>
        </w:rPr>
        <w:t xml:space="preserve">MQ3. Average PM2.5 per station:</w:t>
      </w:r>
      <w:r>
        <w:t xml:space="preserve"> a </w:t>
      </w:r>
      <w:r>
        <w:rPr>
          <w:rStyle w:val="CodeChar"/>
        </w:rPr>
        <w:t xml:space="preserve">$match</w:t>
      </w:r>
      <w:r>
        <w:t xml:space="preserve"> (non-null) → </w:t>
      </w:r>
      <w:r>
        <w:rPr>
          <w:rStyle w:val="CodeChar"/>
        </w:rPr>
        <w:t xml:space="preserve">$group</w:t>
      </w:r>
      <w:r>
        <w:t xml:space="preserve"> (</w:t>
      </w:r>
      <w:r>
        <w:rPr>
          <w:rStyle w:val="CodeChar"/>
        </w:rPr>
        <w:t xml:space="preserve">$avg</w:t>
      </w:r>
      <w:r>
        <w:t xml:space="preserve">, </w:t>
      </w:r>
      <w:r>
        <w:rPr>
          <w:rStyle w:val="CodeChar"/>
        </w:rPr>
        <w:t xml:space="preserve">$max</w:t>
      </w:r>
      <w:r>
        <w:t xml:space="preserve">, count) → </w:t>
      </w:r>
      <w:r>
        <w:rPr>
          <w:rStyle w:val="CodeChar"/>
        </w:rPr>
        <w:t xml:space="preserve">$sort</w:t>
      </w:r>
      <w:r>
        <w:t xml:space="preserve"> pipeline. The results equal SQL Q3 (e.g. Dongsi 86.19 over 34,314 documents), which cross-checks the two loads.</w:t>
      </w:r>
    </w:p>
    <w:p>
      <w:pPr/>
      <w:r>
        <w:rPr>
          <w:b/>
        </w:rPr>
        <w:t xml:space="preserve">MQ4. Hazardous hours (PM2.5 &gt; 150 μg/m³) per station:</w:t>
      </w:r>
    </w:p>
    <w:p>
      <w:pPr>
        <w:pStyle w:val="Code"/>
      </w:pPr>
      <w:bookmarkStart w:id="3" w:name="bongo_lang_javascript_3"/>
      <w:bookmarkEnd w:id="3"/>
      <w:r>
        <w:t xml:space="preserve">db.air_quality_readings.aggregate([</w:t>
        <w:br/>
        <w:t xml:space="preserve">  { $match: { "pollutants.pm25": { $ne: null } } },</w:t>
        <w:br/>
        <w:t xml:space="preserve">  { $group: { _id: "$station", total: { $sum: 1 },</w:t>
        <w:br/>
        <w:t xml:space="preserve">              hazardous: { $sum: { $cond: [{ $gt: ["$pollutants.pm25", 150] }, 1, 0] } } } },</w:t>
        <w:br/>
        <w:t xml:space="preserve">  { $addFields: { pct_hazardous: { $round: [{ $multiply: [{ $divide: ["$hazardous", "$total"] }, 100] }, 1] } } },</w:t>
        <w:br/>
        <w:t xml:space="preserve">  { $sort: { pct_hazardous: -1 } }</w:t>
        <w:br/>
        <w:t xml:space="preserve">])</w:t>
      </w:r>
    </w:p>
    <w:p>
      <w:pPr/>
      <w:r>
        <w:t xml:space="preserve">Dongsi has the most hazardous hours (5,940; 17.3%), then Nongzhanguan (16.8%) and Wanshouxigong (16.6%). The suburban stations have the fewest: Changping 12.8%, Huairou 12.0%, Dingling 11.6% (3,984 hours).</w:t>
      </w:r>
    </w:p>
    <w:p>
      <w:pPr>
        <w:pStyle w:val="Heading2"/>
      </w:pPr>
      <w:r>
        <w:t xml:space="preserve">6. Task 3: CRUD and time-series API</w:t>
      </w:r>
    </w:p>
    <w:p>
      <w:pPr/>
      <w:r>
        <w:t xml:space="preserve">A single FastAPI service gives full CRUD plus latest-record and date-range queries on both databases. The two backends use mirrored routes (</w:t>
      </w:r>
      <w:r>
        <w:rPr>
          <w:rStyle w:val="CodeChar"/>
        </w:rPr>
        <w:t xml:space="preserve">/sql/…</w:t>
      </w:r>
      <w:r>
        <w:t xml:space="preserve"> and </w:t>
      </w:r>
      <w:r>
        <w:rPr>
          <w:rStyle w:val="CodeChar"/>
        </w:rPr>
        <w:t xml:space="preserve">/mongo/…</w:t>
      </w:r>
      <w:r>
        <w:t xml:space="preserve">) and one shared JSON shape. The service is live at </w:t>
      </w:r>
      <w:hyperlink r:id="rId4" w:history="1">
        <w:r>
          <w:rPr>
            <w:rStyle w:val="Hyperlink"/>
          </w:rPr>
          <w:t xml:space="preserve">formative1mlpipeline.onrender.com/docs</w:t>
        </w:r>
      </w:hyperlink>
      <w:r>
        <w:t xml:space="preserve">.</w:t>
      </w:r>
    </w:p>
    <w:p>
      <w:pPr/>
      <w:r>
        <w:drawing>
          <wp:inline distT="0" distB="0" distL="0" distR="0">
            <wp:extent cx="5486400" cy="2334985"/>
            <wp:docPr id="8" name="image8" descr="System architecture · 2 clients, 1 API, 2 hosted databases"/>
            <a:graphic xmlns:a="http://schemas.openxmlformats.org/drawingml/2006/main">
              <a:graphicData uri="http://schemas.openxmlformats.org/drawingml/2006/picture">
                <pic:pic xmlns:pic="http://schemas.openxmlformats.org/drawingml/2006/picture">
                  <pic:nvPicPr>
                    <pic:cNvPr id="8" name="image8" descr="System architecture · 2 clients, 1 API, 2 hosted databases"/>
                    <pic:cNvPicPr/>
                  </pic:nvPicPr>
                  <pic:blipFill>
                    <a:blip r:embed="rId13"/>
                    <a:stretch>
                      <a:fillRect/>
                    </a:stretch>
                  </pic:blipFill>
                  <pic:spPr>
                    <a:xfrm>
                      <a:off x="0" y="0"/>
                      <a:ext cx="5486400" cy="2334985"/>
                    </a:xfrm>
                    <a:prstGeom prst="rect">
                      <a:avLst/>
                    </a:prstGeom>
                  </pic:spPr>
                </pic:pic>
              </a:graphicData>
            </a:graphic>
          </wp:inline>
        </w:drawing>
      </w:r>
    </w:p>
    <w:p>
      <w:pPr/>
      <w:r>
        <w:t xml:space="preserve">System architecture · 2 clients, 1 API, 2 hosted databases</w:t>
      </w:r>
    </w:p>
    <w:p>
      <w:pPr/>
      <w:r>
        <w:rPr>
          <w:b/>
        </w:rPr>
        <w:t xml:space="preserve">Endpoints</w:t>
      </w:r>
      <w:r>
        <w:t xml:space="preserve"> (</w:t>
      </w:r>
      <w:r>
        <w:rPr>
          <w:rStyle w:val="CodeChar"/>
        </w:rPr>
        <w:t xml:space="preserve">{db}</w:t>
      </w:r>
      <w:r>
        <w:t xml:space="preserve"> is </w:t>
      </w:r>
      <w:r>
        <w:rPr>
          <w:rStyle w:val="CodeChar"/>
        </w:rPr>
        <w:t xml:space="preserve">sql</w:t>
      </w:r>
      <w:r>
        <w:t xml:space="preserve"> or </w:t>
      </w:r>
      <w:r>
        <w:rPr>
          <w:rStyle w:val="CodeChar"/>
        </w:rPr>
        <w:t xml:space="preserve">mongo</w:t>
      </w:r>
      <w:r>
        <w:t xml:space="preserve">):</w:t>
      </w:r>
    </w:p>
    <w:tbl>
      <w:tblPr>
        <w:tblStyle w:val="TableGrid"/>
        <w:tblW w:w="0" w:type="auto"/>
        <w:tblLayout w:type="fixed"/>
        <w:tblLook w:val="04A0" w:firstRow="1" w:lastRow="0" w:firstColumn="0" w:lastColumn="0" w:noHBand="0" w:noVBand="1"/>
      </w:tblPr>
      <w:tblGrid>
        <w:gridCol w:w="995"/>
        <w:gridCol w:w="3169"/>
        <w:gridCol w:w="3121"/>
        <w:gridCol w:w="2075"/>
      </w:tblGrid>
      <w:tr>
        <w:trPr>
          <w:tblHeader/>
        </w:trPr>
        <w:tc>
          <w:tcPr>
            <w:tcW w:w="995" w:type="dxa"/>
            <w:shd w:val="clear" w:color="auto" w:fill="F2F2F2"/>
          </w:tcPr>
          <w:p>
            <w:pPr/>
            <w:r>
              <w:t xml:space="preserve">Method</w:t>
            </w:r>
          </w:p>
        </w:tc>
        <w:tc>
          <w:tcPr>
            <w:tcW w:w="3169" w:type="dxa"/>
            <w:shd w:val="clear" w:color="auto" w:fill="F2F2F2"/>
          </w:tcPr>
          <w:p>
            <w:pPr/>
            <w:r>
              <w:t xml:space="preserve">Path</w:t>
            </w:r>
          </w:p>
        </w:tc>
        <w:tc>
          <w:tcPr>
            <w:tcW w:w="3121" w:type="dxa"/>
            <w:shd w:val="clear" w:color="auto" w:fill="F2F2F2"/>
          </w:tcPr>
          <w:p>
            <w:pPr/>
            <w:r>
              <w:t xml:space="preserve">Purpose</w:t>
            </w:r>
          </w:p>
        </w:tc>
        <w:tc>
          <w:tcPr>
            <w:tcW w:w="2075" w:type="dxa"/>
            <w:shd w:val="clear" w:color="auto" w:fill="F2F2F2"/>
          </w:tcPr>
          <w:p>
            <w:pPr/>
            <w:r>
              <w:t xml:space="preserve">Responses</w:t>
            </w:r>
          </w:p>
        </w:tc>
      </w:tr>
      <w:tr>
        <w:tc>
          <w:tcPr>
            <w:tcW w:w="995" w:type="dxa"/>
          </w:tcPr>
          <w:p>
            <w:pPr/>
            <w:r>
              <w:rPr>
                <w:rStyle w:val="CodeChar"/>
              </w:rPr>
              <w:t xml:space="preserve">POST</w:t>
            </w:r>
          </w:p>
        </w:tc>
        <w:tc>
          <w:tcPr>
            <w:tcW w:w="3169" w:type="dxa"/>
          </w:tcPr>
          <w:p>
            <w:pPr/>
            <w:r>
              <w:rPr>
                <w:rStyle w:val="CodeChar"/>
              </w:rPr>
              <w:t xml:space="preserve">/{db}/readings</w:t>
            </w:r>
          </w:p>
        </w:tc>
        <w:tc>
          <w:tcPr>
            <w:tcW w:w="3121" w:type="dxa"/>
          </w:tcPr>
          <w:p>
            <w:pPr/>
            <w:r>
              <w:t xml:space="preserve">Create a reading</w:t>
            </w:r>
          </w:p>
        </w:tc>
        <w:tc>
          <w:tcPr>
            <w:tcW w:w="2075" w:type="dxa"/>
          </w:tcPr>
          <w:p>
            <w:pPr/>
            <w:r>
              <w:t xml:space="preserve">201 created; 409 if the station-hour exists; 422 invalid body</w:t>
            </w:r>
          </w:p>
        </w:tc>
      </w:tr>
      <w:tr>
        <w:tc>
          <w:tcPr>
            <w:tcW w:w="995" w:type="dxa"/>
          </w:tcPr>
          <w:p>
            <w:pPr/>
            <w:r>
              <w:rPr>
                <w:rStyle w:val="CodeChar"/>
              </w:rPr>
              <w:t xml:space="preserve">GET</w:t>
            </w:r>
          </w:p>
        </w:tc>
        <w:tc>
          <w:tcPr>
            <w:tcW w:w="3169" w:type="dxa"/>
          </w:tcPr>
          <w:p>
            <w:pPr/>
            <w:r>
              <w:rPr>
                <w:rStyle w:val="CodeChar"/>
              </w:rPr>
              <w:t xml:space="preserve">/{db}/readings?station=&amp;limit=&amp;offset=</w:t>
            </w:r>
          </w:p>
        </w:tc>
        <w:tc>
          <w:tcPr>
            <w:tcW w:w="3121" w:type="dxa"/>
          </w:tcPr>
          <w:p>
            <w:pPr/>
            <w:r>
              <w:t xml:space="preserve">List readings, newest first, paginated</w:t>
            </w:r>
          </w:p>
        </w:tc>
        <w:tc>
          <w:tcPr>
            <w:tcW w:w="2075" w:type="dxa"/>
          </w:tcPr>
          <w:p>
            <w:pPr/>
            <w:r>
              <w:t xml:space="preserve">200</w:t>
            </w:r>
          </w:p>
        </w:tc>
      </w:tr>
      <w:tr>
        <w:tc>
          <w:tcPr>
            <w:tcW w:w="995" w:type="dxa"/>
          </w:tcPr>
          <w:p>
            <w:pPr/>
            <w:r>
              <w:rPr>
                <w:rStyle w:val="CodeChar"/>
              </w:rPr>
              <w:t xml:space="preserve">GET</w:t>
            </w:r>
          </w:p>
        </w:tc>
        <w:tc>
          <w:tcPr>
            <w:tcW w:w="3169" w:type="dxa"/>
          </w:tcPr>
          <w:p>
            <w:pPr/>
            <w:r>
              <w:rPr>
                <w:rStyle w:val="CodeChar"/>
              </w:rPr>
              <w:t xml:space="preserve">/{db}/readings/{id}</w:t>
            </w:r>
          </w:p>
        </w:tc>
        <w:tc>
          <w:tcPr>
            <w:tcW w:w="3121" w:type="dxa"/>
          </w:tcPr>
          <w:p>
            <w:pPr/>
            <w:r>
              <w:t xml:space="preserve">Read one reading</w:t>
            </w:r>
          </w:p>
        </w:tc>
        <w:tc>
          <w:tcPr>
            <w:tcW w:w="2075" w:type="dxa"/>
          </w:tcPr>
          <w:p>
            <w:pPr/>
            <w:r>
              <w:t xml:space="preserve">200; 404</w:t>
            </w:r>
          </w:p>
        </w:tc>
      </w:tr>
      <w:tr>
        <w:tc>
          <w:tcPr>
            <w:tcW w:w="995" w:type="dxa"/>
          </w:tcPr>
          <w:p>
            <w:pPr/>
            <w:r>
              <w:rPr>
                <w:rStyle w:val="CodeChar"/>
              </w:rPr>
              <w:t xml:space="preserve">PUT</w:t>
            </w:r>
          </w:p>
        </w:tc>
        <w:tc>
          <w:tcPr>
            <w:tcW w:w="3169" w:type="dxa"/>
          </w:tcPr>
          <w:p>
            <w:pPr/>
            <w:r>
              <w:rPr>
                <w:rStyle w:val="CodeChar"/>
              </w:rPr>
              <w:t xml:space="preserve">/{db}/readings/{id}</w:t>
            </w:r>
          </w:p>
        </w:tc>
        <w:tc>
          <w:tcPr>
            <w:tcW w:w="3121" w:type="dxa"/>
          </w:tcPr>
          <w:p>
            <w:pPr/>
            <w:r>
              <w:t xml:space="preserve">Partial update: only the fields sent change</w:t>
            </w:r>
          </w:p>
        </w:tc>
        <w:tc>
          <w:tcPr>
            <w:tcW w:w="2075" w:type="dxa"/>
          </w:tcPr>
          <w:p>
            <w:pPr/>
            <w:r>
              <w:t xml:space="preserve">200; 404; 409</w:t>
            </w:r>
          </w:p>
        </w:tc>
      </w:tr>
      <w:tr>
        <w:tc>
          <w:tcPr>
            <w:tcW w:w="995" w:type="dxa"/>
          </w:tcPr>
          <w:p>
            <w:pPr/>
            <w:r>
              <w:rPr>
                <w:rStyle w:val="CodeChar"/>
              </w:rPr>
              <w:t xml:space="preserve">DELETE</w:t>
            </w:r>
          </w:p>
        </w:tc>
        <w:tc>
          <w:tcPr>
            <w:tcW w:w="3169" w:type="dxa"/>
          </w:tcPr>
          <w:p>
            <w:pPr/>
            <w:r>
              <w:rPr>
                <w:rStyle w:val="CodeChar"/>
              </w:rPr>
              <w:t xml:space="preserve">/{db}/readings/{id}</w:t>
            </w:r>
          </w:p>
        </w:tc>
        <w:tc>
          <w:tcPr>
            <w:tcW w:w="3121" w:type="dxa"/>
          </w:tcPr>
          <w:p>
            <w:pPr/>
            <w:r>
              <w:t xml:space="preserve">Delete a reading</w:t>
            </w:r>
          </w:p>
        </w:tc>
        <w:tc>
          <w:tcPr>
            <w:tcW w:w="2075" w:type="dxa"/>
          </w:tcPr>
          <w:p>
            <w:pPr/>
            <w:r>
              <w:t xml:space="preserve">200; 404</w:t>
            </w:r>
          </w:p>
        </w:tc>
      </w:tr>
      <w:tr>
        <w:tc>
          <w:tcPr>
            <w:tcW w:w="995" w:type="dxa"/>
          </w:tcPr>
          <w:p>
            <w:pPr/>
            <w:r>
              <w:rPr>
                <w:rStyle w:val="CodeChar"/>
              </w:rPr>
              <w:t xml:space="preserve">GET</w:t>
            </w:r>
          </w:p>
        </w:tc>
        <w:tc>
          <w:tcPr>
            <w:tcW w:w="3169" w:type="dxa"/>
          </w:tcPr>
          <w:p>
            <w:pPr/>
            <w:r>
              <w:rPr>
                <w:rStyle w:val="CodeChar"/>
              </w:rPr>
              <w:t xml:space="preserve">/{db}/readings/latest?station=</w:t>
            </w:r>
          </w:p>
        </w:tc>
        <w:tc>
          <w:tcPr>
            <w:tcW w:w="3121" w:type="dxa"/>
          </w:tcPr>
          <w:p>
            <w:pPr/>
            <w:r>
              <w:rPr>
                <w:b/>
              </w:rPr>
              <w:t xml:space="preserve">Latest record</w:t>
            </w:r>
            <w:r>
              <w:t xml:space="preserve">, overall or per station</w:t>
            </w:r>
          </w:p>
        </w:tc>
        <w:tc>
          <w:tcPr>
            <w:tcW w:w="2075" w:type="dxa"/>
          </w:tcPr>
          <w:p>
            <w:pPr/>
            <w:r>
              <w:t xml:space="preserve">200; 404 if empty</w:t>
            </w:r>
          </w:p>
        </w:tc>
      </w:tr>
      <w:tr>
        <w:tc>
          <w:tcPr>
            <w:tcW w:w="995" w:type="dxa"/>
          </w:tcPr>
          <w:p>
            <w:pPr/>
            <w:r>
              <w:rPr>
                <w:rStyle w:val="CodeChar"/>
              </w:rPr>
              <w:t xml:space="preserve">GET</w:t>
            </w:r>
          </w:p>
        </w:tc>
        <w:tc>
          <w:tcPr>
            <w:tcW w:w="3169" w:type="dxa"/>
          </w:tcPr>
          <w:p>
            <w:pPr/>
            <w:r>
              <w:rPr>
                <w:rStyle w:val="CodeChar"/>
              </w:rPr>
              <w:t xml:space="preserve">/{db}/readings/range?start=&amp;end=&amp;station=&amp;limit=</w:t>
            </w:r>
          </w:p>
        </w:tc>
        <w:tc>
          <w:tcPr>
            <w:tcW w:w="3121" w:type="dxa"/>
          </w:tcPr>
          <w:p>
            <w:pPr/>
            <w:r>
              <w:rPr>
                <w:b/>
              </w:rPr>
              <w:t xml:space="preserve">Records by date range</w:t>
            </w:r>
            <w:r>
              <w:t xml:space="preserve">, inclusive, oldest first</w:t>
            </w:r>
          </w:p>
        </w:tc>
        <w:tc>
          <w:tcPr>
            <w:tcW w:w="2075" w:type="dxa"/>
          </w:tcPr>
          <w:p>
            <w:pPr/>
            <w:r>
              <w:t xml:space="preserve">200; 400 if </w:t>
            </w:r>
            <w:r>
              <w:rPr>
                <w:rStyle w:val="CodeChar"/>
              </w:rPr>
              <w:t xml:space="preserve">start</w:t>
            </w:r>
            <w:r>
              <w:t xml:space="preserve"> &gt; </w:t>
            </w:r>
            <w:r>
              <w:rPr>
                <w:rStyle w:val="CodeChar"/>
              </w:rPr>
              <w:t xml:space="preserve">end</w:t>
            </w:r>
          </w:p>
        </w:tc>
      </w:tr>
      <w:tr>
        <w:tc>
          <w:tcPr>
            <w:tcW w:w="995" w:type="dxa"/>
          </w:tcPr>
          <w:p>
            <w:pPr/>
            <w:r>
              <w:rPr>
                <w:rStyle w:val="CodeChar"/>
              </w:rPr>
              <w:t xml:space="preserve">GET</w:t>
            </w:r>
          </w:p>
        </w:tc>
        <w:tc>
          <w:tcPr>
            <w:tcW w:w="3169" w:type="dxa"/>
          </w:tcPr>
          <w:p>
            <w:pPr/>
            <w:r>
              <w:rPr>
                <w:rStyle w:val="CodeChar"/>
              </w:rPr>
              <w:t xml:space="preserve">/{db}/stations</w:t>
            </w:r>
          </w:p>
        </w:tc>
        <w:tc>
          <w:tcPr>
            <w:tcW w:w="3121" w:type="dxa"/>
          </w:tcPr>
          <w:p>
            <w:pPr/>
            <w:r>
              <w:t xml:space="preserve">List stations</w:t>
            </w:r>
          </w:p>
        </w:tc>
        <w:tc>
          <w:tcPr>
            <w:tcW w:w="2075" w:type="dxa"/>
          </w:tcPr>
          <w:p>
            <w:pPr/>
            <w:r>
              <w:t xml:space="preserve">200</w:t>
            </w:r>
          </w:p>
        </w:tc>
      </w:tr>
    </w:tbl>
    <w:p>
      <w:pPr/>
      <w:r>
        <w:rPr>
          <w:b/>
        </w:rPr>
        <w:t xml:space="preserve">Implementation.</w:t>
      </w:r>
    </w:p>
    <w:p>
      <w:pPr>
        <w:pStyle w:val="ListParagraph"/>
        <w:numPr>
          <w:ilvl w:val="0"/>
          <w:numId w:val="5"/>
        </w:numPr>
      </w:pPr>
      <w:r>
        <w:rPr>
          <w:b/>
        </w:rPr>
        <w:t xml:space="preserve">Structure.</w:t>
      </w:r>
      <w:r>
        <w:t xml:space="preserve"> </w:t>
      </w:r>
      <w:r>
        <w:rPr>
          <w:rStyle w:val="CodeChar"/>
        </w:rPr>
        <w:t xml:space="preserve">api/main.py</w:t>
      </w:r>
      <w:r>
        <w:t xml:space="preserve"> mounts two routers, </w:t>
      </w:r>
      <w:r>
        <w:rPr>
          <w:rStyle w:val="CodeChar"/>
        </w:rPr>
        <w:t xml:space="preserve">routers/sql_readings.py</w:t>
      </w:r>
      <w:r>
        <w:t xml:space="preserve"> and </w:t>
      </w:r>
      <w:r>
        <w:rPr>
          <w:rStyle w:val="CodeChar"/>
        </w:rPr>
        <w:t xml:space="preserve">routers/mongo_readings.py</w:t>
      </w:r>
      <w:r>
        <w:t xml:space="preserve">. Data access is separated into </w:t>
      </w:r>
      <w:r>
        <w:rPr>
          <w:rStyle w:val="CodeChar"/>
        </w:rPr>
        <w:t xml:space="preserve">sql_db.py</w:t>
      </w:r>
      <w:r>
        <w:t xml:space="preserve"> (SQLAlchemy models of Nicole's three tables) and </w:t>
      </w:r>
      <w:r>
        <w:rPr>
          <w:rStyle w:val="CodeChar"/>
        </w:rPr>
        <w:t xml:space="preserve">mongo_db.py</w:t>
      </w:r>
      <w:r>
        <w:t xml:space="preserve"> (pymongo).</w:t>
      </w:r>
    </w:p>
    <w:p>
      <w:pPr>
        <w:pStyle w:val="ListParagraph"/>
        <w:numPr>
          <w:ilvl w:val="0"/>
          <w:numId w:val="5"/>
        </w:numPr>
      </w:pPr>
      <w:r>
        <w:rPr>
          <w:b/>
        </w:rPr>
        <w:t xml:space="preserve">One contract for both databases.</w:t>
      </w:r>
      <w:r>
        <w:t xml:space="preserve"> Pydantic models in </w:t>
      </w:r>
      <w:r>
        <w:rPr>
          <w:rStyle w:val="CodeChar"/>
        </w:rPr>
        <w:t xml:space="preserve">schemas.py</w:t>
      </w:r>
      <w:r>
        <w:t xml:space="preserve"> validate every request: non-negative pollutant values, a station name of at most 50 characters, ISO-8601 timestamps. MongoDB stores Nicole's nested document; the API flattens it on the way out, so a client (Task 4) can switch databases by changing only the URL prefix.</w:t>
      </w:r>
    </w:p>
    <w:p>
      <w:pPr>
        <w:pStyle w:val="ListParagraph"/>
        <w:numPr>
          <w:ilvl w:val="0"/>
          <w:numId w:val="5"/>
        </w:numPr>
      </w:pPr>
      <w:r>
        <w:rPr>
          <w:b/>
        </w:rPr>
        <w:t xml:space="preserve">Time-series queries use the indexes.</w:t>
      </w:r>
      <w:r>
        <w:t xml:space="preserve"> "Latest" is </w:t>
      </w:r>
      <w:r>
        <w:rPr>
          <w:rStyle w:val="CodeChar"/>
        </w:rPr>
        <w:t xml:space="preserve">ORDER BY timestamp DESC LIMIT 1</w:t>
      </w:r>
      <w:r>
        <w:t xml:space="preserve"> in SQL and </w:t>
      </w:r>
      <w:r>
        <w:rPr>
          <w:rStyle w:val="CodeChar"/>
        </w:rPr>
        <w:t xml:space="preserve">sort({timestamp: -1}).limit(1)</w:t>
      </w:r>
      <w:r>
        <w:t xml:space="preserve"> in MongoDB. "Range" is a </w:t>
      </w:r>
      <w:r>
        <w:rPr>
          <w:rStyle w:val="CodeChar"/>
        </w:rPr>
        <w:t xml:space="preserve">BETWEEN</w:t>
      </w:r>
      <w:r>
        <w:t xml:space="preserve"> / </w:t>
      </w:r>
      <w:r>
        <w:rPr>
          <w:rStyle w:val="CodeChar"/>
        </w:rPr>
        <w:t xml:space="preserve">$gte</w:t>
      </w:r>
      <w:r>
        <w:t xml:space="preserve">–</w:t>
      </w:r>
      <w:r>
        <w:rPr>
          <w:rStyle w:val="CodeChar"/>
        </w:rPr>
        <w:t xml:space="preserve">$lte</w:t>
      </w:r>
      <w:r>
        <w:t xml:space="preserve"> filter. Both use the (station, timestamp) indexes, and results are capped at 5,000 rows to protect the service.</w:t>
      </w:r>
    </w:p>
    <w:p>
      <w:pPr>
        <w:pStyle w:val="ListParagraph"/>
        <w:numPr>
          <w:ilvl w:val="0"/>
          <w:numId w:val="5"/>
        </w:numPr>
      </w:pPr>
      <w:r>
        <w:rPr>
          <w:b/>
        </w:rPr>
        <w:t xml:space="preserve">Configuration.</w:t>
      </w:r>
      <w:r>
        <w:t xml:space="preserve"> Connection strings come from environment variables (</w:t>
      </w:r>
      <w:r>
        <w:rPr>
          <w:rStyle w:val="CodeChar"/>
        </w:rPr>
        <w:t xml:space="preserve">.env</w:t>
      </w:r>
      <w:r>
        <w:t xml:space="preserve">, never committed). Hosted MySQL connects over TLS (</w:t>
      </w:r>
      <w:r>
        <w:rPr>
          <w:rStyle w:val="CodeChar"/>
        </w:rPr>
        <w:t xml:space="preserve">SQL_SSL=true</w:t>
      </w:r>
      <w:r>
        <w:t xml:space="preserve">).</w:t>
      </w:r>
    </w:p>
    <w:p>
      <w:pPr>
        <w:pStyle w:val="ListParagraph"/>
        <w:numPr>
          <w:ilvl w:val="0"/>
          <w:numId w:val="5"/>
        </w:numPr>
      </w:pPr>
      <w:r>
        <w:rPr>
          <w:b/>
        </w:rPr>
        <w:t xml:space="preserve">Loading.</w:t>
      </w:r>
      <w:r>
        <w:t xml:space="preserve"> </w:t>
      </w:r>
      <w:r>
        <w:rPr>
          <w:rStyle w:val="CodeChar"/>
        </w:rPr>
        <w:t xml:space="preserve">database/load_data.py</w:t>
      </w:r>
      <w:r>
        <w:t xml:space="preserve"> reads the 12 CSVs and bulk-inserts them into either database in 10,000-row batches. Loading took about 90 s into Aiven and 280 s into Atlas.</w:t>
      </w:r>
    </w:p>
    <w:p>
      <w:pPr/>
      <w:r>
        <w:rPr>
          <w:b/>
        </w:rPr>
        <w:t xml:space="preserve">Example</w:t>
      </w:r>
      <w:r>
        <w:t xml:space="preserve"> (live):</w:t>
      </w:r>
    </w:p>
    <w:p>
      <w:pPr>
        <w:pStyle w:val="Code"/>
      </w:pPr>
      <w:bookmarkStart w:id="4" w:name="bongo_lang_bash_4"/>
      <w:bookmarkEnd w:id="4"/>
      <w:r>
        <w:t xml:space="preserve">curl "https://formative1mlpipeline.onrender.com/sql/readings/latest?station=Dongsi"</w:t>
      </w:r>
    </w:p>
    <w:p/>
    <w:p>
      <w:pPr>
        <w:pStyle w:val="Code"/>
      </w:pPr>
      <w:bookmarkStart w:id="5" w:name="bongo_lang_json_5"/>
      <w:bookmarkEnd w:id="5"/>
      <w:r>
        <w:t xml:space="preserve">{"id": "140256", "station": "Dongsi", "timestamp": "2017-02-28T23:00:00",</w:t>
        <w:br/>
        <w:t xml:space="preserve"> "pm25": 30.0, "pm10": 71.0, "so2": 11.0, "no2": 87.0, "co": 1200.0, "o3": 4.0,</w:t>
        <w:br/>
        <w:t xml:space="preserve"> "temp": 8.6, "pres": 1014.1, "dewp": -15.9, "rain": 0.0,</w:t>
        <w:br/>
        <w:t xml:space="preserve"> "wind_direction": "NNE", "wind_speed": 1.3}</w:t>
      </w:r>
    </w:p>
    <w:p>
      <w:pPr/>
      <w:r>
        <w:rPr>
          <w:b/>
        </w:rPr>
        <w:t xml:space="preserve">Testing.</w:t>
      </w:r>
      <w:r>
        <w:t xml:space="preserve"> </w:t>
      </w:r>
      <w:r>
        <w:rPr>
          <w:rStyle w:val="CodeChar"/>
        </w:rPr>
        <w:t xml:space="preserve">tests/test_api.py</w:t>
      </w:r>
      <w:r>
        <w:t xml:space="preserve"> runs 26 tests: each of 12 behaviours is run against both backends, plus 2 MongoDB-only checks. They cover create and read, duplicate rejection (409), validation (422), list filtering, partial update, update into a duplicate (409), delete then 404, latest overall and per station, latest on an empty store (404), date ranges with station and limit, reversed dates (400), invalid ObjectId (400), and that MongoDB stores the nested Task 2 layout. Tests use in-memory SQLite and </w:t>
      </w:r>
      <w:r>
        <w:rPr>
          <w:rStyle w:val="CodeChar"/>
        </w:rPr>
        <w:t xml:space="preserve">mongomock</w:t>
      </w:r>
      <w:r>
        <w:t xml:space="preserve">, so they run in under a second and never touch the hosted data. We also exercised every endpoint against the hosted Aiven and Atlas databases: the Dongsi 1–7 January 2016 range returns 168 rows from each, matching Nicole's queries.</w:t>
      </w:r>
    </w:p>
    <w:p>
      <w:pPr/>
      <w:r>
        <w:rPr>
          <w:b/>
        </w:rPr>
        <w:t xml:space="preserve">Hosting.</w:t>
      </w:r>
      <w:r>
        <w:t xml:space="preserve"> The API runs on Render's free tier (</w:t>
      </w:r>
      <w:r>
        <w:rPr>
          <w:rStyle w:val="CodeChar"/>
        </w:rPr>
        <w:t xml:space="preserve">uvicorn api.main:app --host 0.0.0.0 --port $PORT</w:t>
      </w:r>
      <w:r>
        <w:t xml:space="preserve">). The service sleeps after about 15 idle minutes, so the first request after a pause can take up to a minute.</w:t>
      </w:r>
    </w:p>
    <w:p>
      <w:pPr>
        <w:pStyle w:val="Heading2"/>
      </w:pPr>
      <w:r>
        <w:t xml:space="preserve">7. Task 4: Prediction script</w:t>
      </w:r>
    </w:p>
    <w:p>
      <w:pPr/>
      <w:r>
        <w:rPr>
          <w:rStyle w:val="CodeChar"/>
        </w:rPr>
        <w:t xml:space="preserve">prediction/predict.py</w:t>
      </w:r>
      <w:r>
        <w:t xml:space="preserve"> ties the pipeline together: it fetches the latest Dongsi record from the API, rebuilds Task 1's feature vector, loads the saved model and prints a next-hour forecast of 40.68 μg/m³.</w:t>
      </w:r>
    </w:p>
    <w:p>
      <w:pPr/>
      <w:r>
        <w:t xml:space="preserve">The script works in four steps, matching the assignment brief:</w:t>
      </w:r>
    </w:p>
    <w:p>
      <w:pPr>
        <w:pStyle w:val="ListParagraph"/>
        <w:numPr>
          <w:ilvl w:val="0"/>
          <w:numId w:val="6"/>
        </w:numPr>
      </w:pPr>
      <w:r>
        <w:rPr>
          <w:b/>
        </w:rPr>
        <w:t xml:space="preserve">Fetch.</w:t>
      </w:r>
      <w:r>
        <w:t xml:space="preserve"> </w:t>
      </w:r>
      <w:r>
        <w:rPr>
          <w:rStyle w:val="CodeChar"/>
        </w:rPr>
        <w:t xml:space="preserve">fetch_latest_reading()</w:t>
      </w:r>
      <w:r>
        <w:t xml:space="preserve"> calls </w:t>
      </w:r>
      <w:r>
        <w:rPr>
          <w:rStyle w:val="CodeChar"/>
        </w:rPr>
        <w:t xml:space="preserve">GET /sql/readings/latest?station=Dongsi</w:t>
      </w:r>
      <w:r>
        <w:t xml:space="preserve"> with </w:t>
      </w:r>
      <w:r>
        <w:rPr>
          <w:rStyle w:val="CodeChar"/>
        </w:rPr>
        <w:t xml:space="preserve">requests</w:t>
      </w:r>
      <w:r>
        <w:t xml:space="preserve"> and raises on any HTTP error (</w:t>
      </w:r>
      <w:r>
        <w:rPr>
          <w:rStyle w:val="CodeChar"/>
        </w:rPr>
        <w:t xml:space="preserve">raise_for_status</w:t>
      </w:r>
      <w:r>
        <w:t xml:space="preserve">). The API base URL is a single constant, so the same script runs against a local server or the live Render URL.</w:t>
      </w:r>
    </w:p>
    <w:p>
      <w:pPr>
        <w:pStyle w:val="ListParagraph"/>
        <w:numPr>
          <w:ilvl w:val="0"/>
          <w:numId w:val="6"/>
        </w:numPr>
      </w:pPr>
      <w:r>
        <w:rPr>
          <w:b/>
        </w:rPr>
        <w:t xml:space="preserve">Preprocess.</w:t>
      </w:r>
      <w:r>
        <w:t xml:space="preserve"> </w:t>
      </w:r>
      <w:r>
        <w:rPr>
          <w:rStyle w:val="CodeChar"/>
        </w:rPr>
        <w:t xml:space="preserve">prepare_features()</w:t>
      </w:r>
      <w:r>
        <w:t xml:space="preserve"> applies the Task 1 preprocessing to the API record. It maps the API field names back to the training column names (</w:t>
      </w:r>
      <w:r>
        <w:rPr>
          <w:rStyle w:val="CodeChar"/>
        </w:rPr>
        <w:t xml:space="preserve">pm25</w:t>
      </w:r>
      <w:r>
        <w:t xml:space="preserve"> → </w:t>
      </w:r>
      <w:r>
        <w:rPr>
          <w:rStyle w:val="CodeChar"/>
        </w:rPr>
        <w:t xml:space="preserve">PM2.5</w:t>
      </w:r>
      <w:r>
        <w:t xml:space="preserve">, </w:t>
      </w:r>
      <w:r>
        <w:rPr>
          <w:rStyle w:val="CodeChar"/>
        </w:rPr>
        <w:t xml:space="preserve">wind_speed</w:t>
      </w:r>
      <w:r>
        <w:t xml:space="preserve"> → </w:t>
      </w:r>
      <w:r>
        <w:rPr>
          <w:rStyle w:val="CodeChar"/>
        </w:rPr>
        <w:t xml:space="preserve">WSPM</w:t>
      </w:r>
      <w:r>
        <w:t xml:space="preserve">, and so on) and derives </w:t>
      </w:r>
      <w:r>
        <w:rPr>
          <w:rStyle w:val="CodeChar"/>
        </w:rPr>
        <w:t xml:space="preserve">hour</w:t>
      </w:r>
      <w:r>
        <w:t xml:space="preserve"> and </w:t>
      </w:r>
      <w:r>
        <w:rPr>
          <w:rStyle w:val="CodeChar"/>
        </w:rPr>
        <w:t xml:space="preserve">month</w:t>
      </w:r>
      <w:r>
        <w:t xml:space="preserve"> from the timestamp. It returns the 13 columns in exactly the training order.</w:t>
      </w:r>
    </w:p>
    <w:p>
      <w:pPr>
        <w:pStyle w:val="ListParagraph"/>
        <w:numPr>
          <w:ilvl w:val="0"/>
          <w:numId w:val="6"/>
        </w:numPr>
      </w:pPr>
      <w:r>
        <w:rPr>
          <w:b/>
        </w:rPr>
        <w:t xml:space="preserve">Load the model.</w:t>
      </w:r>
      <w:r>
        <w:t xml:space="preserve"> </w:t>
      </w:r>
      <w:r>
        <w:rPr>
          <w:rStyle w:val="CodeChar"/>
        </w:rPr>
        <w:t xml:space="preserve">joblib.load("models/best_rf.joblib")</w:t>
      </w:r>
      <w:r>
        <w:t xml:space="preserve"> restores the full tuned pipeline. Because the median imputer is part of that pipeline, a missing value in the fetched record is filled exactly as during training.</w:t>
      </w:r>
    </w:p>
    <w:p>
      <w:pPr>
        <w:pStyle w:val="ListParagraph"/>
        <w:numPr>
          <w:ilvl w:val="0"/>
          <w:numId w:val="6"/>
        </w:numPr>
      </w:pPr>
      <w:r>
        <w:rPr>
          <w:b/>
        </w:rPr>
        <w:t xml:space="preserve">Predict.</w:t>
      </w:r>
      <w:r>
        <w:t xml:space="preserve"> </w:t>
      </w:r>
      <w:r>
        <w:rPr>
          <w:rStyle w:val="CodeChar"/>
        </w:rPr>
        <w:t xml:space="preserve">predict_next_hour()</w:t>
      </w:r>
      <w:r>
        <w:t xml:space="preserve"> returns the forecast as a float, and </w:t>
      </w:r>
      <w:r>
        <w:rPr>
          <w:rStyle w:val="CodeChar"/>
        </w:rPr>
        <w:t xml:space="preserve">main()</w:t>
      </w:r>
      <w:r>
        <w:t xml:space="preserve"> prints it with the input it used.</w:t>
      </w:r>
    </w:p>
    <w:p>
      <w:pPr/>
      <w:r>
        <w:rPr>
          <w:b/>
        </w:rPr>
        <w:t xml:space="preserve">Output</w:t>
      </w:r>
      <w:r>
        <w:t xml:space="preserve"> (run against the live API):</w:t>
      </w:r>
    </w:p>
    <w:p>
      <w:pPr>
        <w:pStyle w:val="Code"/>
      </w:pPr>
      <w:bookmarkStart w:id="6" w:name="bongo_lang_text_6"/>
      <w:bookmarkEnd w:id="6"/>
      <w:r>
        <w:t xml:space="preserve">Station: Dongsi</w:t>
        <w:br/>
        <w:t xml:space="preserve">Latest recorded timestamp: 2017-02-28T23:00:00</w:t>
        <w:br/>
        <w:t xml:space="preserve">Latest recorded PM2.5: 30.0</w:t>
        <w:br/>
        <w:t xml:space="preserve">Predicted next-hour PM2.5: 40.68</w:t>
      </w:r>
    </w:p>
    <w:p>
      <w:pPr/>
      <w:r>
        <w:t xml:space="preserve">The same record fetched through </w:t>
      </w:r>
      <w:r>
        <w:rPr>
          <w:rStyle w:val="CodeChar"/>
        </w:rPr>
        <w:t xml:space="preserve">/mongo/readings/latest</w:t>
      </w:r>
      <w:r>
        <w:t xml:space="preserve"> gives the identical prediction (40.68), confirming the two backends return the same data in the same shape. The dataset ends in February 2017, so this forecasts the hour after the last recorded one (2017-03-01 00:00), not today's air quality.</w:t>
      </w:r>
    </w:p>
    <w:p>
      <w:pPr/>
      <w:r>
        <w:rPr>
          <w:b/>
        </w:rPr>
        <w:t xml:space="preserve">Testing.</w:t>
      </w:r>
      <w:r>
        <w:t xml:space="preserve"> </w:t>
      </w:r>
      <w:r>
        <w:rPr>
          <w:rStyle w:val="CodeChar"/>
        </w:rPr>
        <w:t xml:space="preserve">tests/test_prediction.py</w:t>
      </w:r>
      <w:r>
        <w:t xml:space="preserve"> adds 5 tests: feature names, order and timestamp-derived values; the prediction call with a stand-in model; a reading with a missing field; an invalid timestamp; and an HTTP 500 from the API. With the 26 API tests, the full suite runs 31 tests, and all pass.</w:t>
      </w:r>
    </w:p>
    <w:p>
      <w:pPr>
        <w:pStyle w:val="Heading2"/>
      </w:pPr>
      <w:r>
        <w:t xml:space="preserve">8. Repository, reproducibility and conclusion</w:t>
      </w:r>
    </w:p>
    <w:p>
      <w:pPr/>
      <w:r>
        <w:rPr>
          <w:b/>
        </w:rPr>
        <w:t xml:space="preserve">Repository layout</w:t>
      </w:r>
      <w:r>
        <w:t xml:space="preserve"> (</w:t>
      </w:r>
      <w:hyperlink r:id="rId3" w:history="1">
        <w:r>
          <w:rPr>
            <w:rStyle w:val="Hyperlink"/>
          </w:rPr>
          <w:t xml:space="preserve">GitHub</w:t>
        </w:r>
      </w:hyperlink>
      <w:r>
        <w:t xml:space="preserve">):</w:t>
      </w:r>
    </w:p>
    <w:tbl>
      <w:tblPr>
        <w:tblStyle w:val="TableGrid"/>
        <w:tblW w:w="0" w:type="auto"/>
        <w:tblLayout w:type="fixed"/>
        <w:tblLook w:val="04A0" w:firstRow="1" w:lastRow="0" w:firstColumn="0" w:lastColumn="0" w:noHBand="0" w:noVBand="1"/>
      </w:tblPr>
      <w:tblGrid>
        <w:gridCol w:w="2248"/>
        <w:gridCol w:w="7111"/>
      </w:tblGrid>
      <w:tr>
        <w:trPr>
          <w:tblHeader/>
        </w:trPr>
        <w:tc>
          <w:tcPr>
            <w:tcW w:w="2248" w:type="dxa"/>
            <w:shd w:val="clear" w:color="auto" w:fill="F2F2F2"/>
          </w:tcPr>
          <w:p>
            <w:pPr/>
            <w:r>
              <w:t xml:space="preserve">Folder</w:t>
            </w:r>
          </w:p>
        </w:tc>
        <w:tc>
          <w:tcPr>
            <w:tcW w:w="7111" w:type="dxa"/>
            <w:shd w:val="clear" w:color="auto" w:fill="F2F2F2"/>
          </w:tcPr>
          <w:p>
            <w:pPr/>
            <w:r>
              <w:t xml:space="preserve">Contents</w:t>
            </w:r>
          </w:p>
        </w:tc>
      </w:tr>
      <w:tr>
        <w:tc>
          <w:tcPr>
            <w:tcW w:w="2248" w:type="dxa"/>
          </w:tcPr>
          <w:p>
            <w:pPr/>
            <w:r>
              <w:rPr>
                <w:rStyle w:val="CodeChar"/>
              </w:rPr>
              <w:t xml:space="preserve">notebooks/</w:t>
            </w:r>
          </w:p>
        </w:tc>
        <w:tc>
          <w:tcPr>
            <w:tcW w:w="7111" w:type="dxa"/>
          </w:tcPr>
          <w:p>
            <w:pPr/>
            <w:r>
              <w:t xml:space="preserve">Task 1 analysis and model notebook; Task 2 database notebook</w:t>
            </w:r>
          </w:p>
        </w:tc>
      </w:tr>
      <w:tr>
        <w:tc>
          <w:tcPr>
            <w:tcW w:w="2248" w:type="dxa"/>
          </w:tcPr>
          <w:p>
            <w:pPr/>
            <w:r>
              <w:rPr>
                <w:rStyle w:val="CodeChar"/>
              </w:rPr>
              <w:t xml:space="preserve">database/</w:t>
            </w:r>
          </w:p>
        </w:tc>
        <w:tc>
          <w:tcPr>
            <w:tcW w:w="7111" w:type="dxa"/>
          </w:tcPr>
          <w:p>
            <w:pPr/>
            <w:r>
              <w:rPr>
                <w:rStyle w:val="CodeChar"/>
              </w:rPr>
              <w:t xml:space="preserve">schema_mysql.sql</w:t>
            </w:r>
            <w:r>
              <w:t xml:space="preserve"> (DDL), </w:t>
            </w:r>
            <w:r>
              <w:rPr>
                <w:rStyle w:val="CodeChar"/>
              </w:rPr>
              <w:t xml:space="preserve">load_data.py</w:t>
            </w:r>
            <w:r>
              <w:t xml:space="preserve"> (CSV → MySQL and MongoDB)</w:t>
            </w:r>
          </w:p>
        </w:tc>
      </w:tr>
      <w:tr>
        <w:tc>
          <w:tcPr>
            <w:tcW w:w="2248" w:type="dxa"/>
          </w:tcPr>
          <w:p>
            <w:pPr/>
            <w:r>
              <w:rPr>
                <w:rStyle w:val="CodeChar"/>
              </w:rPr>
              <w:t xml:space="preserve">api/</w:t>
            </w:r>
          </w:p>
        </w:tc>
        <w:tc>
          <w:tcPr>
            <w:tcW w:w="7111" w:type="dxa"/>
          </w:tcPr>
          <w:p>
            <w:pPr/>
            <w:r>
              <w:t xml:space="preserve">FastAPI app, routers, schemas, database access</w:t>
            </w:r>
          </w:p>
        </w:tc>
      </w:tr>
      <w:tr>
        <w:tc>
          <w:tcPr>
            <w:tcW w:w="2248" w:type="dxa"/>
          </w:tcPr>
          <w:p>
            <w:pPr/>
            <w:r>
              <w:rPr>
                <w:rStyle w:val="CodeChar"/>
              </w:rPr>
              <w:t xml:space="preserve">prediction/</w:t>
            </w:r>
          </w:p>
        </w:tc>
        <w:tc>
          <w:tcPr>
            <w:tcW w:w="7111" w:type="dxa"/>
          </w:tcPr>
          <w:p>
            <w:pPr/>
            <w:r>
              <w:rPr>
                <w:rStyle w:val="CodeChar"/>
              </w:rPr>
              <w:t xml:space="preserve">predict.py</w:t>
            </w:r>
          </w:p>
        </w:tc>
      </w:tr>
      <w:tr>
        <w:tc>
          <w:tcPr>
            <w:tcW w:w="2248" w:type="dxa"/>
          </w:tcPr>
          <w:p>
            <w:pPr/>
            <w:r>
              <w:rPr>
                <w:rStyle w:val="CodeChar"/>
              </w:rPr>
              <w:t xml:space="preserve">models/</w:t>
            </w:r>
          </w:p>
        </w:tc>
        <w:tc>
          <w:tcPr>
            <w:tcW w:w="7111" w:type="dxa"/>
          </w:tcPr>
          <w:p>
            <w:pPr/>
            <w:r>
              <w:rPr>
                <w:rStyle w:val="CodeChar"/>
              </w:rPr>
              <w:t xml:space="preserve">best_rf.joblib</w:t>
            </w:r>
            <w:r>
              <w:t xml:space="preserve">, the tuned pipeline</w:t>
            </w:r>
          </w:p>
        </w:tc>
      </w:tr>
      <w:tr>
        <w:tc>
          <w:tcPr>
            <w:tcW w:w="2248" w:type="dxa"/>
          </w:tcPr>
          <w:p>
            <w:pPr/>
            <w:r>
              <w:rPr>
                <w:rStyle w:val="CodeChar"/>
              </w:rPr>
              <w:t xml:space="preserve">tests/</w:t>
            </w:r>
          </w:p>
        </w:tc>
        <w:tc>
          <w:tcPr>
            <w:tcW w:w="7111" w:type="dxa"/>
          </w:tcPr>
          <w:p>
            <w:pPr/>
            <w:r>
              <w:t xml:space="preserve">26 API tests and 5 prediction tests</w:t>
            </w:r>
          </w:p>
        </w:tc>
      </w:tr>
    </w:tbl>
    <w:p>
      <w:pPr/>
      <w:r>
        <w:t xml:space="preserve">Raw data (</w:t>
      </w:r>
      <w:r>
        <w:rPr>
          <w:rStyle w:val="CodeChar"/>
        </w:rPr>
        <w:t xml:space="preserve">data/raw/</w:t>
      </w:r>
      <w:r>
        <w:t xml:space="preserve">) and credentials (</w:t>
      </w:r>
      <w:r>
        <w:rPr>
          <w:rStyle w:val="CodeChar"/>
        </w:rPr>
        <w:t xml:space="preserve">.env</w:t>
      </w:r>
      <w:r>
        <w:t xml:space="preserve">) are excluded from Git; </w:t>
      </w:r>
      <w:r>
        <w:rPr>
          <w:rStyle w:val="CodeChar"/>
        </w:rPr>
        <w:t xml:space="preserve">.env.example</w:t>
      </w:r>
      <w:r>
        <w:t xml:space="preserve"> lists the settings to provide.</w:t>
      </w:r>
    </w:p>
    <w:p>
      <w:pPr/>
      <w:r>
        <w:rPr>
          <w:b/>
        </w:rPr>
        <w:t xml:space="preserve">Reproducing the results:</w:t>
      </w:r>
    </w:p>
    <w:p>
      <w:pPr>
        <w:pStyle w:val="ListParagraph"/>
        <w:numPr>
          <w:ilvl w:val="0"/>
          <w:numId w:val="7"/>
        </w:numPr>
      </w:pPr>
      <w:r>
        <w:rPr>
          <w:rStyle w:val="CodeChar"/>
        </w:rPr>
        <w:t xml:space="preserve">pip install -r requirements.txt</w:t>
      </w:r>
      <w:r>
        <w:t xml:space="preserve">, then copy </w:t>
      </w:r>
      <w:r>
        <w:rPr>
          <w:rStyle w:val="CodeChar"/>
        </w:rPr>
        <w:t xml:space="preserve">.env.example</w:t>
      </w:r>
      <w:r>
        <w:t xml:space="preserve"> to </w:t>
      </w:r>
      <w:r>
        <w:rPr>
          <w:rStyle w:val="CodeChar"/>
        </w:rPr>
        <w:t xml:space="preserve">.env</w:t>
      </w:r>
      <w:r>
        <w:t xml:space="preserve"> and fill in the database connection strings.</w:t>
      </w:r>
    </w:p>
    <w:p>
      <w:pPr>
        <w:pStyle w:val="ListParagraph"/>
        <w:numPr>
          <w:ilvl w:val="0"/>
          <w:numId w:val="7"/>
        </w:numPr>
      </w:pPr>
      <w:r>
        <w:t xml:space="preserve">Download the Kaggle archive into </w:t>
      </w:r>
      <w:r>
        <w:rPr>
          <w:rStyle w:val="CodeChar"/>
        </w:rPr>
        <w:t xml:space="preserve">data/raw/</w:t>
      </w:r>
      <w:r>
        <w:t xml:space="preserve"> and run </w:t>
      </w:r>
      <w:r>
        <w:rPr>
          <w:rStyle w:val="CodeChar"/>
        </w:rPr>
        <w:t xml:space="preserve">python -m database.load_data</w:t>
      </w:r>
      <w:r>
        <w:t xml:space="preserve"> to load both databases.</w:t>
      </w:r>
    </w:p>
    <w:p>
      <w:pPr>
        <w:pStyle w:val="ListParagraph"/>
        <w:numPr>
          <w:ilvl w:val="0"/>
          <w:numId w:val="7"/>
        </w:numPr>
      </w:pPr>
      <w:r>
        <w:t xml:space="preserve">Run </w:t>
      </w:r>
      <w:r>
        <w:rPr>
          <w:rStyle w:val="CodeChar"/>
        </w:rPr>
        <w:t xml:space="preserve">uvicorn api.main:app</w:t>
      </w:r>
      <w:r>
        <w:t xml:space="preserve"> and open </w:t>
      </w:r>
      <w:r>
        <w:rPr>
          <w:rStyle w:val="CodeChar"/>
        </w:rPr>
        <w:t xml:space="preserve">/docs</w:t>
      </w:r>
      <w:r>
        <w:t xml:space="preserve">, or use the live URL.</w:t>
      </w:r>
    </w:p>
    <w:p>
      <w:pPr>
        <w:pStyle w:val="ListParagraph"/>
        <w:numPr>
          <w:ilvl w:val="0"/>
          <w:numId w:val="7"/>
        </w:numPr>
      </w:pPr>
      <w:r>
        <w:t xml:space="preserve">Run </w:t>
      </w:r>
      <w:r>
        <w:rPr>
          <w:rStyle w:val="CodeChar"/>
        </w:rPr>
        <w:t xml:space="preserve">python prediction/predict.py</w:t>
      </w:r>
      <w:r>
        <w:t xml:space="preserve"> for a forecast and </w:t>
      </w:r>
      <w:r>
        <w:rPr>
          <w:rStyle w:val="CodeChar"/>
        </w:rPr>
        <w:t xml:space="preserve">pytest</w:t>
      </w:r>
      <w:r>
        <w:t xml:space="preserve"> for the 31 tests.</w:t>
      </w:r>
    </w:p>
    <w:p>
      <w:pPr/>
      <w:r>
        <w:rPr>
          <w:b/>
        </w:rPr>
        <w:t xml:space="preserve">Limitations.</w:t>
      </w:r>
    </w:p>
    <w:p>
      <w:pPr>
        <w:pStyle w:val="ListParagraph"/>
        <w:numPr>
          <w:ilvl w:val="0"/>
          <w:numId w:val="8"/>
        </w:numPr>
      </w:pPr>
      <w:r>
        <w:rPr>
          <w:b/>
        </w:rPr>
        <w:t xml:space="preserve">One station, one horizon.</w:t>
      </w:r>
      <w:r>
        <w:t xml:space="preserve"> The model is trained and evaluated on Dongsi for one hour ahead; we have not tested it on the other 11 stations or longer horizons.</w:t>
      </w:r>
    </w:p>
    <w:p>
      <w:pPr>
        <w:pStyle w:val="ListParagraph"/>
        <w:numPr>
          <w:ilvl w:val="0"/>
          <w:numId w:val="8"/>
        </w:numPr>
      </w:pPr>
      <w:r>
        <w:rPr>
          <w:b/>
        </w:rPr>
        <w:t xml:space="preserve">Small gain over persistence.</w:t>
      </w:r>
      <w:r>
        <w:t xml:space="preserve"> The tuned forest beats "repeat the current value" by only 0.25 μg/m³ MAE. Lagged values and moving averages (Q4 and Q5) were analysed but not yet used as model features. Adding them, or trying a sequence model such as an LSTM, is the clearest next step.</w:t>
      </w:r>
    </w:p>
    <w:p>
      <w:pPr>
        <w:pStyle w:val="ListParagraph"/>
        <w:numPr>
          <w:ilvl w:val="0"/>
          <w:numId w:val="8"/>
        </w:numPr>
      </w:pPr>
      <w:r>
        <w:rPr>
          <w:b/>
        </w:rPr>
        <w:t xml:space="preserve">Historical data.</w:t>
      </w:r>
      <w:r>
        <w:t xml:space="preserve"> The data ends on 2017-02-28, so the pipeline demonstrates forecasting on the latest stored record rather than live air quality.</w:t>
      </w:r>
    </w:p>
    <w:p>
      <w:pPr>
        <w:pStyle w:val="ListParagraph"/>
        <w:numPr>
          <w:ilvl w:val="0"/>
          <w:numId w:val="8"/>
        </w:numPr>
      </w:pPr>
      <w:r>
        <w:rPr>
          <w:b/>
        </w:rPr>
        <w:t xml:space="preserve">Free hosting.</w:t>
      </w:r>
      <w:r>
        <w:t xml:space="preserve"> Render's free tier sleeps when idle, so the first API call can take up to a minute. Clients should allow a long timeout.</w:t>
      </w:r>
    </w:p>
    <w:p>
      <w:pPr/>
      <w:r>
        <w:rPr>
          <w:b/>
        </w:rPr>
        <w:t xml:space="preserve">Conclusion.</w:t>
      </w:r>
      <w:r>
        <w:t xml:space="preserve"> The four tasks fit together into a working pipeline. The exploration showed a highly persistent, strongly seasonal and diurnal pollutant that exceeds WHO guidelines at every station. Both databases store the full four-year history and answer the same queries with identical results. One API serves both, with CRUD and time-series endpoints, and the prediction script uses it to turn a live record into a next-hour forecast. All 31 automated tests pass.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Shumbusho43/Formative1MLPipeline" TargetMode="External"/><Relationship Id="rId4" Type="http://schemas.openxmlformats.org/officeDocument/2006/relationships/hyperlink" Target="https://formative1mlpipeline.onrender.com/docs" TargetMode="External"/><Relationship Id="rId5" Type="http://schemas.openxmlformats.org/officeDocument/2006/relationships/hyperlink" Target="https://www.kaggle.com/datasets/sid321axn/beijing-multisite-airquality-data-set"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Beijing Air Quality Time-Series Pipeline — Group Report</dc:title>
  <dc:description>Claude Docs node/8278d852-0ee7@24 docx-w7</dc:description>
  <cp:revision>24</cp:revision>
</cp:coreProperties>
</file>