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</w:rPr>
      </w:pPr>
      <w:r>
        <w:rPr>
          <w:sz w:val="28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Content table for master thesis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 “</w:t>
      </w:r>
      <w:r>
        <w:rPr>
          <w:lang w:val="en-US"/>
        </w:rPr>
        <w:t>Development of low-power turbogenerator”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Chapter 1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state of the small-scale power generation unit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Place of application and tasks set for low-power turbogenerators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brief overview of manufactures of low-power turbogenerators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main components of the machine</w:t>
      </w:r>
    </w:p>
    <w:p>
      <w:pPr>
        <w:pStyle w:val="ListParagraph"/>
        <w:numPr>
          <w:ilvl w:val="1"/>
          <w:numId w:val="1"/>
        </w:numPr>
        <w:rPr/>
      </w:pPr>
      <w:r>
        <w:rPr/>
        <w:t>Existing design solutions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Organic Rankine Cycle: thermodynamic processes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problem of choosing a working fluid for cycle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Difficulties in conducting experimental studies of installations on the Rankine cycle and conducting experimental studies in air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Chapter 2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Gas-dynamic path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Electrical part of the stand and measurement system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Experimental characteristic of the stand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Statement of the problem to the design of turbogenerator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Chapter 3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Choosing turbine type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Choosing nozzle apparatus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Calculations of the flow path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Simulation of the flow path using FEM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Strength calculation of the impeller using FEM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Choosing permanent magnets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Strength of the magnet-bandage system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Estimation of the magnetic induction in the air gap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calculation of the electrical machine</w:t>
      </w:r>
    </w:p>
    <w:p>
      <w:pPr>
        <w:pStyle w:val="ListParagraph"/>
        <w:numPr>
          <w:ilvl w:val="1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Possible stator designs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Simulation of electromagnetic systems by FEM method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Results and external characteristics of the generator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Rotor system strength calculation</w:t>
      </w:r>
    </w:p>
    <w:p>
      <w:pPr>
        <w:pStyle w:val="ListParagraph"/>
        <w:numPr>
          <w:ilvl w:val="1"/>
          <w:numId w:val="1"/>
        </w:numPr>
        <w:rPr>
          <w:highlight w:val="lightGray"/>
        </w:rPr>
      </w:pPr>
      <w:r>
        <w:rPr>
          <w:highlight w:val="lightGray"/>
          <w:lang w:val="en-US"/>
        </w:rPr>
        <w:t>Rotor vibration diagram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Chapter 4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Matlab simulation model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Concept of the control system for the turbogenerator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of the machine in motor mode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Autonomous operation of the machine with an active rectifier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Modeling the acceleration of machine after complete load shedding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Chapter 5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>
      <w:pPr>
        <w:pStyle w:val="ListParagraph"/>
        <w:spacing w:before="0" w:after="200"/>
        <w:ind w:left="360" w:hanging="0"/>
        <w:contextualSpacing/>
        <w:rPr>
          <w:lang w:val="en-US"/>
        </w:rPr>
      </w:pPr>
      <w:r>
        <w:rPr>
          <w:lang w:val="en-US"/>
        </w:rPr>
        <w:t>Appendix</w:t>
      </w:r>
      <w:r>
        <w:rPr>
          <w:lang w:val="en-US"/>
        </w:rPr>
        <w:t>es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5ac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4c0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4c0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4c0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4c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4c0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4c0"/>
    <w:pPr>
      <w:keepNext w:val="true"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4c0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4c0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4c0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f34c0"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6f34c0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6f34c0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f34c0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6f34c0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6f34c0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6f34c0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6f34c0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f34c0"/>
    <w:rPr>
      <w:sz w:val="16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6f34c0"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f34c0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f34c0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6f34c0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f34c0"/>
    <w:rPr>
      <w:rFonts w:ascii="Segoe UI" w:hAnsi="Segoe UI" w:cs="Segoe UI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6f34c0"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f34c0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f34c0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f34c0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f34c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f34c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34c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f34c0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f34c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f34c0"/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f34c0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f34c0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f34c0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f34c0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6f34c0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f34c0"/>
    <w:rPr>
      <w:rFonts w:ascii="Consolas" w:hAnsi="Consolas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f34c0"/>
    <w:rPr>
      <w:i/>
      <w:iCs/>
      <w:color w:val="4F81BD" w:themeColor="accent1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6f34c0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6f34c0"/>
    <w:rPr>
      <w:rFonts w:ascii="Cambria" w:hAnsi="Cambr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6f34c0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f34c0"/>
    <w:rPr>
      <w:rFonts w:ascii="Consolas" w:hAnsi="Consolas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qFormat/>
    <w:rsid w:val="006f34c0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6f34c0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6f34c0"/>
    <w:rPr/>
  </w:style>
  <w:style w:type="character" w:styleId="SubtitleChar" w:customStyle="1">
    <w:name w:val="Subtitle Char"/>
    <w:basedOn w:val="DefaultParagraphFont"/>
    <w:link w:val="Subtitle"/>
    <w:uiPriority w:val="11"/>
    <w:qFormat/>
    <w:rsid w:val="006f34c0"/>
    <w:rPr>
      <w:rFonts w:eastAsia="" w:eastAsiaTheme="minorEastAsia"/>
      <w:color w:val="5A5A5A" w:themeColor="text1" w:themeTint="a5"/>
      <w:spacing w:val="15"/>
    </w:rPr>
  </w:style>
  <w:style w:type="character" w:styleId="TitleChar" w:customStyle="1">
    <w:name w:val="Title Char"/>
    <w:basedOn w:val="DefaultParagraphFont"/>
    <w:link w:val="Title"/>
    <w:uiPriority w:val="10"/>
    <w:qFormat/>
    <w:rsid w:val="006f34c0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6f34c0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6f34c0"/>
    <w:pPr>
      <w:spacing w:before="0" w:after="20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60e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34c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f34c0"/>
    <w:pPr/>
    <w:rPr/>
  </w:style>
  <w:style w:type="paragraph" w:styleId="BlockText">
    <w:name w:val="Block Text"/>
    <w:basedOn w:val="Normal"/>
    <w:uiPriority w:val="99"/>
    <w:semiHidden/>
    <w:unhideWhenUsed/>
    <w:qFormat/>
    <w:rsid w:val="006f34c0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 w:hanging="0"/>
    </w:pPr>
    <w:rPr>
      <w:rFonts w:eastAsia="" w:eastAsiaTheme="minorEastAsia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f34c0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f34c0"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6f34c0"/>
    <w:pPr>
      <w:spacing w:before="0" w:after="20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6f34c0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6f34c0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f34c0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f34c0"/>
    <w:pPr>
      <w:spacing w:before="0" w:after="120"/>
      <w:ind w:left="283" w:hanging="0"/>
    </w:pPr>
    <w:rPr>
      <w:sz w:val="16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f34c0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6f34c0"/>
    <w:pPr>
      <w:spacing w:lineRule="auto" w:line="240" w:before="0" w:after="0"/>
      <w:ind w:left="4252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f34c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f34c0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f34c0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f34c0"/>
    <w:pPr>
      <w:spacing w:lineRule="auto" w:line="240" w:before="0" w:after="0"/>
    </w:pPr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6f34c0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6f34c0"/>
    <w:pPr>
      <w:spacing w:lineRule="auto" w:line="240" w:before="0" w:after="0"/>
    </w:pPr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6f34c0"/>
    <w:pPr>
      <w:spacing w:lineRule="auto" w:line="240" w:before="0" w:after="0"/>
      <w:ind w:left="2880" w:hanging="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6f34c0"/>
    <w:pPr>
      <w:spacing w:lineRule="auto" w:line="240" w:before="0" w:after="0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semiHidden/>
    <w:unhideWhenUsed/>
    <w:rsid w:val="006f34c0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6f34c0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f34c0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f34c0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f34c0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f34c0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f34c0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f34c0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f34c0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f34c0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f34c0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f34c0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f34c0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f34c0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6f34c0"/>
    <w:pPr/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4c0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List2">
    <w:name w:val="List Bullet 3"/>
    <w:basedOn w:val="Normal"/>
    <w:uiPriority w:val="99"/>
    <w:semiHidden/>
    <w:unhideWhenUsed/>
    <w:rsid w:val="006f34c0"/>
    <w:pPr>
      <w:spacing w:before="0" w:after="200"/>
      <w:ind w:left="566" w:hanging="283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6f34c0"/>
    <w:pPr>
      <w:spacing w:before="0" w:after="200"/>
      <w:ind w:left="849" w:hanging="283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6f34c0"/>
    <w:pPr>
      <w:spacing w:before="0" w:after="200"/>
      <w:ind w:left="1132" w:hanging="283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6f34c0"/>
    <w:pPr>
      <w:spacing w:before="0" w:after="200"/>
      <w:ind w:left="1415" w:hanging="283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6f34c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6f34c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6f34c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6f34c0"/>
    <w:p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6f34c0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6f34c0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6f34c0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6f34c0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6f34c0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6f34c0"/>
    <w:pPr>
      <w:spacing w:before="0" w:after="120"/>
      <w:ind w:left="1415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6f34c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6f34c0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6f34c0"/>
    <w:p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6f34c0"/>
    <w:p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6f34c0"/>
    <w:pPr>
      <w:spacing w:before="0" w:after="20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6f34c0"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6" w:before="0" w:after="0"/>
      <w:jc w:val="left"/>
    </w:pPr>
    <w:rPr>
      <w:rFonts w:ascii="Consolas" w:hAnsi="Consolas" w:eastAsia="Calibri" w:cs="" w:cstheme="minorBidi" w:eastAsiaTheme="minorHAnsi"/>
      <w:color w:val="auto"/>
      <w:kern w:val="0"/>
      <w:sz w:val="20"/>
      <w:szCs w:val="20"/>
      <w:lang w:val="ru-RU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f34c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6f34c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f34c0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f34c0"/>
    <w:pPr>
      <w:ind w:left="1304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f34c0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f34c0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f34c0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6f34c0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6f34c0"/>
    <w:pPr>
      <w:spacing w:lineRule="auto" w:line="240" w:before="0" w:after="0"/>
      <w:ind w:left="4252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6f34c0"/>
    <w:pPr>
      <w:spacing w:before="0" w:after="160"/>
    </w:pPr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f34c0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4c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LibreOffice/6.4.6.2$Linux_X86_64 LibreOffice_project/40$Build-2</Application>
  <Pages>1</Pages>
  <Words>255</Words>
  <Characters>1457</Characters>
  <CharactersWithSpaces>1639</CharactersWithSpaces>
  <Paragraphs>40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2020-07-19T21:12:00Z</dcterms:created>
  <dc:creator>User</dc:creator>
  <dc:description/>
  <dc:language>en-US</dc:language>
  <cp:lastModifiedBy/>
  <dcterms:modified xsi:type="dcterms:W3CDTF">2021-02-05T12:42:19Z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