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4" w:color="1F4E5F"/>
        </w:pBdr>
        <w:spacing w:after="40"/>
      </w:pPr>
      <w:r>
        <w:rPr>
          <w:b/>
          <w:i w:val="0"/>
          <w:color w:val="17384A"/>
          <w:sz w:val="48"/>
        </w:rPr>
        <w:t>Daluyan — Independent Validation Report</w:t>
      </w:r>
    </w:p>
    <w:p>
      <w:pPr>
        <w:spacing w:after="40"/>
      </w:pPr>
      <w:r>
        <w:rPr>
          <w:b w:val="0"/>
          <w:i w:val="0"/>
          <w:color w:val="1F4E5F"/>
          <w:sz w:val="26"/>
        </w:rPr>
        <w:t>Real · Large · Significant · Buildable | Global and Local Evidence Review</w:t>
      </w:r>
    </w:p>
    <w:p>
      <w:pPr>
        <w:spacing w:after="200"/>
      </w:pPr>
      <w:r>
        <w:rPr>
          <w:b w:val="0"/>
          <w:i w:val="0"/>
          <w:color w:val="666666"/>
          <w:sz w:val="19"/>
        </w:rPr>
        <w:t>Prepared for Vijay · July 5, 2026 · Based on 4 independent research tracks, ~60 live web sources (bracketed cites map to Section 10). Companion to the Phase 1 Execution Brief.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Daluyan — a last-mile, SMS-first, two-way, multilingual flood-warning relay operated by Philippine barangay officials — was independently re-validated against the Real / Large / Significant framework plus a buildability test, using live web research (July 2026) rather than the claims in the existing briefs. The verdict: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type="dxa" w:w="194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Verdict</w:t>
            </w:r>
          </w:p>
        </w:tc>
        <w:tc>
          <w:tcPr>
            <w:tcW w:type="dxa" w:w="136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Confidence</w:t>
            </w:r>
          </w:p>
        </w:tc>
        <w:tc>
          <w:tcPr>
            <w:tcW w:type="dxa" w:w="439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One-line basis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REAL</w:t>
            </w:r>
          </w:p>
        </w:tc>
        <w:tc>
          <w:tcPr>
            <w:tcW w:type="dxa" w:w="1944"/>
            <w:shd w:val="clear" w:color="auto" w:fill="E5F2E5"/>
          </w:tcPr>
          <w:p>
            <w:pPr>
              <w:spacing w:after="40"/>
            </w:pPr>
            <w:r>
              <w:rPr>
                <w:sz w:val="19"/>
              </w:rPr>
              <w:t>PASS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9"/>
              </w:rPr>
              <w:t>Peer-reviewed Haiyan studies + NDRRMC's own on-record admission of 5+ hr SMS delays + documented bandillo/siren coverage failures [S1–S5, S11]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LARGE</w:t>
            </w:r>
          </w:p>
        </w:tc>
        <w:tc>
          <w:tcPr>
            <w:tcW w:type="dxa" w:w="1944"/>
            <w:shd w:val="clear" w:color="auto" w:fill="E5F2E5"/>
          </w:tcPr>
          <w:p>
            <w:pPr>
              <w:spacing w:after="40"/>
            </w:pPr>
            <w:r>
              <w:rPr>
                <w:sz w:val="19"/>
              </w:rPr>
              <w:t>PASS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9"/>
              </w:rPr>
              <w:t>PH is #1 of 193 on WorldRiskIndex 2025; ~20 cyclones/yr; 42,046 barangays; single 2024–25 events affected 5–8M people each [S15–S23]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SIGNIFICANT</w:t>
            </w:r>
          </w:p>
        </w:tc>
        <w:tc>
          <w:tcPr>
            <w:tcW w:type="dxa" w:w="1944"/>
            <w:shd w:val="clear" w:color="auto" w:fill="E5F2E5"/>
          </w:tcPr>
          <w:p>
            <w:pPr>
              <w:spacing w:after="40"/>
            </w:pPr>
            <w:r>
              <w:rPr>
                <w:sz w:val="19"/>
              </w:rPr>
              <w:t>PASS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High*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9"/>
              </w:rPr>
              <w:t>EWS = ~6x lower mortality (UN); mandated 5% LDRRMF with EWS an eligible expense; 2025 corruption scandal + RA 12287 make cheap auditable warning software timely. *Payer-path confidence: Medium [S28–S38]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BUILDABLE</w:t>
            </w:r>
          </w:p>
        </w:tc>
        <w:tc>
          <w:tcPr>
            <w:tcW w:type="dxa" w:w="1944"/>
            <w:shd w:val="clear" w:color="auto" w:fill="E5F2E5"/>
          </w:tcPr>
          <w:p>
            <w:pPr>
              <w:spacing w:after="40"/>
            </w:pPr>
            <w:r>
              <w:rPr>
                <w:sz w:val="19"/>
              </w:rPr>
              <w:t>PASS — with 1 change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9"/>
              </w:rPr>
              <w:t>Semaphore is outbound-only (verified in its API docs, Jul 5 2026); two-way requires a hybrid inbound channel. Pilot ≈ ₱3,700–4,000/mo [S50]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9"/>
              </w:rPr>
              <w:t>Differentiation</w:t>
            </w:r>
          </w:p>
        </w:tc>
        <w:tc>
          <w:tcPr>
            <w:tcW w:type="dxa" w:w="1944"/>
            <w:shd w:val="clear" w:color="auto" w:fill="FFF3D9"/>
          </w:tcPr>
          <w:p>
            <w:pPr>
              <w:spacing w:after="40"/>
            </w:pPr>
            <w:r>
              <w:rPr>
                <w:sz w:val="19"/>
              </w:rPr>
              <w:t>PARTLY TRUE</w:t>
            </w:r>
          </w:p>
        </w:tc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4392"/>
          </w:tcPr>
          <w:p>
            <w:pPr>
              <w:spacing w:after="40"/>
            </w:pPr>
            <w:r>
              <w:rPr>
                <w:sz w:val="19"/>
              </w:rPr>
              <w:t>True as 'no PH software system combines all 4 pillars at barangay level'; false as worded — Komunidad &amp; Smart Infocast are each ~2 features away [S39–S47]</w:t>
            </w:r>
          </w:p>
        </w:tc>
      </w:tr>
    </w:tbl>
    <w:p>
      <w:pPr>
        <w:spacing w:after="40"/>
      </w:pPr>
    </w:p>
    <w:p>
      <w:r>
        <w:rPr>
          <w:b/>
          <w:color w:val="1E7B3C"/>
        </w:rPr>
        <w:t>Overall: GO</w:t>
      </w:r>
      <w:r>
        <w:rPr>
          <w:b w:val="0"/>
        </w:rPr>
        <w:t xml:space="preserve"> — at grant/impact stage, exactly as the brief positions it. The idea survives adversarial validation. Six evidence-based amendments are required (Section 9), the most important being an architecture change: Semaphore cannot receive SMS, so the two-way loop needs a second, inbound channel.</w:t>
      </w:r>
    </w:p>
    <w:p>
      <w:pPr>
        <w:pStyle w:val="Heading1"/>
      </w:pPr>
      <w:r>
        <w:t>2. Method</w:t>
      </w:r>
    </w:p>
    <w:p>
      <w:r>
        <w:rPr>
          <w:b w:val="0"/>
          <w:i w:val="0"/>
        </w:rPr>
        <w:t>Framework: a problem is worth building against only if it is Real (documented, not assumed), Large (many people, big denominators), and Significant (severe consequences + someone structurally able to pay/act), and the solution is Buildable by the actual team under actual constraints. Four independent research tracks ran in parallel (problem reality; scale &amp; significance; competition; technical/regulatory feasibility), each instructed to actively seek counter-evidence. Findings that contradict the existing Phase 1 briefs are reported, not smoothed over. Field-interview claims (n=3, Marilao) were treated as anecdote to be tested, not evidence.</w:t>
      </w:r>
    </w:p>
    <w:p>
      <w:pPr>
        <w:pStyle w:val="Heading1"/>
      </w:pPr>
      <w:r>
        <w:t>3. REAL — does the last-mile warning failure actually exist?</w:t>
      </w:r>
    </w:p>
    <w:p>
      <w:r>
        <w:rPr>
          <w:b/>
          <w:color w:val="1E7B3C"/>
        </w:rPr>
        <w:t xml:space="preserve">Verdict: PASS. </w:t>
      </w:r>
      <w:r>
        <w:rPr>
          <w:b w:val="0"/>
        </w:rPr>
        <w:t>The failure mode is documented at every link the product touches, locally and globally — with three corrections to the brief's numbers.</w:t>
      </w:r>
    </w:p>
    <w:p>
      <w:pPr>
        <w:pStyle w:val="Heading2"/>
      </w:pPr>
      <w:r>
        <w:t>3.1 Local (Philippines) evidence</w:t>
      </w:r>
    </w:p>
    <w:p>
      <w:pPr>
        <w:pStyle w:val="ListBullet"/>
        <w:spacing w:after="60"/>
      </w:pPr>
      <w:r>
        <w:rPr>
          <w:b/>
        </w:rPr>
        <w:t xml:space="preserve">Warnings arrive but are not understood or actionable (Haiyan, peer-reviewed). </w:t>
      </w:r>
      <w:r>
        <w:t>Jibiki et al. 2016 (IJDRR): residents received PAGASA warnings but did not grasp 'storm surge'; the authors' stronger finding is that warnings lacked personalization — those who understood severity evacuated [S1]. Esteban et al. 2016 (n=172): residents 'were not able to clearly conceptualize' storm surge; many planned to evacuate mid-storm [S2]. DOST and NDRRMC officials admitted the comprehension gap on record days after landfall [S3].</w:t>
      </w:r>
    </w:p>
    <w:p>
      <w:pPr>
        <w:pStyle w:val="ListBullet"/>
        <w:spacing w:after="60"/>
      </w:pPr>
      <w:r>
        <w:rPr>
          <w:b/>
        </w:rPr>
        <w:t xml:space="preserve">No time for analog barangay response (Ondoy, 2009). </w:t>
      </w:r>
      <w:r>
        <w:t>455 mm rain in 24 hrs (1-in-100+ yr), 92 mm in one hour; Marikina River rose ~3 m in 3 hours; 241 Metro Manila deaths. A megaphone round physically cannot outrun that — timing, not channel absence, is the documented killer [S4]. This matches what the 3 Marilao interviewees said.</w:t>
      </w:r>
    </w:p>
    <w:p>
      <w:pPr>
        <w:pStyle w:val="ListBullet"/>
        <w:spacing w:after="60"/>
      </w:pPr>
      <w:r>
        <w:rPr>
          <w:b/>
        </w:rPr>
        <w:t xml:space="preserve">NDRRMC's own SMS bottleneck — confirmed by NDRRMC. </w:t>
      </w:r>
      <w:r>
        <w:t>Rappler (Jul 2018): a PAGASA warning issued 4:00 pm arrived 9:17 pm; NDRRMC's ICT chief explained point-to-point SMS queues at ~2M subscribers per province while cell broadcast (3–5 s) fails on non-compliant/off-by-default handsets. Caveat: this is 2018-vintage evidence; CBS handset penetration has since grown — re-verify during pilot interviews [S5, S6].</w:t>
      </w:r>
    </w:p>
    <w:p>
      <w:pPr>
        <w:pStyle w:val="ListBullet"/>
        <w:spacing w:after="60"/>
      </w:pPr>
      <w:r>
        <w:rPr>
          <w:b/>
        </w:rPr>
        <w:t xml:space="preserve">Trust in SMS is contested terrain. </w:t>
      </w:r>
      <w:r>
        <w:t>The alert channel itself was abused (false emergency alerts promoting a political family, Masbate, Apr 2025); IMSI-catcher scam-SMS injection is an active 2026 problem (PCIJ, Jun 30 2026). Cuts both ways: validates distrust of generic blasts AND raises the bar for Daluyan's own trust design (registered sender ID, consistent format, source + timestamp in every message) [S6, S7].</w:t>
      </w:r>
    </w:p>
    <w:p>
      <w:pPr>
        <w:pStyle w:val="ListBullet"/>
        <w:spacing w:after="60"/>
      </w:pPr>
      <w:r>
        <w:rPr>
          <w:b/>
        </w:rPr>
        <w:t xml:space="preserve">Analog last mile demonstrably leaky. </w:t>
      </w:r>
      <w:r>
        <w:t>Documented cases: residents slept through bandilyo/siren rounds and woke to flooded homes (Bacuag, Surigao del Norte); Marikina's Tumana siren carries ~1.5 km, short of full coverage [S11]. Barangay DRRM committees are the formal last mile — they lack a two-way tool, which is precisely the gap.</w:t>
      </w:r>
    </w:p>
    <w:p>
      <w:pPr>
        <w:pStyle w:val="ListBullet"/>
        <w:spacing w:after="60"/>
      </w:pPr>
      <w:r>
        <w:rPr>
          <w:b/>
        </w:rPr>
        <w:t xml:space="preserve">Power-outage battery death is a real failure mode (new risk, confirmed). </w:t>
      </w:r>
      <w:r>
        <w:t>Typhoon Rai/Odette: 3M+ families lost power for 2–8 weeks; NGOs deployed solar charging kits specifically because phones died [S10]. Design consequence: Daluyan's highest-value window is pre-landfall; templates must prompt charging; unreached households must be a first-class operator output feeding tanod door-knocks.</w:t>
      </w:r>
    </w:p>
    <w:p>
      <w:pPr>
        <w:pStyle w:val="Heading2"/>
      </w:pPr>
      <w:r>
        <w:t>3.2 Global evidence</w:t>
      </w:r>
    </w:p>
    <w:p>
      <w:pPr>
        <w:pStyle w:val="ListBullet"/>
        <w:spacing w:after="60"/>
      </w:pPr>
      <w:r>
        <w:rPr>
          <w:b/>
        </w:rPr>
        <w:t xml:space="preserve">Coverage gap is real: </w:t>
      </w:r>
      <w:r>
        <w:t>one-third of the world's people — mostly LDCs/SIDS — lack early-warning coverage (WMO, EW4All launch); 2025 Global Status: 119 countries report MHEWS, SIDS coverage only 43% [S12, S13].</w:t>
      </w:r>
    </w:p>
    <w:p>
      <w:pPr>
        <w:pStyle w:val="ListBullet"/>
        <w:spacing w:after="60"/>
      </w:pPr>
      <w:r>
        <w:rPr>
          <w:b/>
        </w:rPr>
        <w:t xml:space="preserve">But precision matters: </w:t>
      </w:r>
      <w:r>
        <w:t>WMO's own pillar scoring rates Risk Knowledge, not dissemination, as the least-developed pillar globally. The brief's 'last mile is THE recognized weak link' overstates; say 'a recognized critical gap' (dissemination is EW4All Pillar 3, ITU-led) [S13].</w:t>
      </w:r>
    </w:p>
    <w:p>
      <w:pPr>
        <w:pStyle w:val="ListBullet"/>
        <w:spacing w:after="60"/>
      </w:pPr>
      <w:r>
        <w:rPr>
          <w:b/>
        </w:rPr>
        <w:t xml:space="preserve">The model generalizes: </w:t>
      </w:r>
      <w:r>
        <w:t>Google.org already funds human last-mile relay networks (Red Cross/Yale/Yuganter) to carry Flood Hub warnings to offline villages — in India and Bangladesh, not the Philippines. A Daluyan-shaped gap, acknowledged by the biggest player in flood AI [S43].</w:t>
      </w:r>
    </w:p>
    <w:p>
      <w:pPr>
        <w:pStyle w:val="Heading2"/>
      </w:pPr>
      <w:r>
        <w:t>3.3 Corrections the brief must adopt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Brief's claim</w:t>
            </w:r>
          </w:p>
        </w:tc>
        <w:tc>
          <w:tcPr>
            <w:tcW w:type="dxa" w:w="432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What the evidence says</w:t>
            </w:r>
          </w:p>
        </w:tc>
        <w:tc>
          <w:tcPr>
            <w:tcW w:type="dxa" w:w="280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  <w:t>~28% rural internet access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PSA NICTHS 2024: 48.8% of ALL households have home internet; the 21–28% band is only the poorest regions (Zamboanga 21.2%, BARMM 27.7%); individual use 67.3% national, 40% BARMM vs 79.3% NCR [S9]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Reframe: 'half of households lack home internet; the most flood-exposed poor regions sit at 21–40%.' SMS-first case survives — via outages, feature phones, and the poorest regions — but don't cite 28%.</w:t>
            </w:r>
          </w:p>
        </w:tc>
      </w:tr>
      <w:tr>
        <w:tc>
          <w:tcPr>
            <w:tcW w:type="dxa" w:w="223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95.8M social media users</w:t>
            </w:r>
          </w:p>
        </w:tc>
        <w:tc>
          <w:tcPr>
            <w:tcW w:type="dxa" w:w="4320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Verified exactly: DataReportal Digital 2026 (Oct 2025 data): 95.8M identities, 81.9% of population; 83.8% internet penetration [S8]</w:t>
            </w:r>
          </w:p>
        </w:tc>
        <w:tc>
          <w:tcPr>
            <w:tcW w:type="dxa" w:w="2808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Keep, with date. Note the counter-trend: internet penetration is rising; the offline case narrows over time except during disasters — which is Daluyan's exact window.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  <w:t>5+ hr SMS queuing delays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Substantiated, on record, by NDRRMC ICT OIC — but in 2018 [S5]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Keep, date-stamped '(2018, NDRRMC on record)'; re-verify in Phase 1 stakeholder interviews.</w:t>
            </w:r>
          </w:p>
        </w:tc>
      </w:tr>
      <w:tr>
        <w:tc>
          <w:tcPr>
            <w:tcW w:type="dxa" w:w="223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ECBS 'mostly Filipino', mistargeting</w:t>
            </w:r>
          </w:p>
        </w:tc>
        <w:tc>
          <w:tcPr>
            <w:tcW w:type="dxa" w:w="4320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No primary source found for either sub-claim</w:t>
            </w:r>
          </w:p>
        </w:tc>
        <w:tc>
          <w:tcPr>
            <w:tcW w:type="dxa" w:w="2808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Downgrade to hypothesis; add to interview script.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>
              <w:rPr>
                <w:sz w:val="19"/>
              </w:rPr>
              <w:t>Haiyan warnings 'not in their language'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Strongest studies show comprehension/actionability failure; language-specific evidence is thinner [S1–S3]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sz w:val="19"/>
              </w:rPr>
              <w:t>Lead with 'not understood / not actionable'; keep regional language as the (still untested) second pillar.</w:t>
            </w:r>
          </w:p>
        </w:tc>
      </w:tr>
      <w:tr>
        <w:tc>
          <w:tcPr>
            <w:tcW w:type="dxa" w:w="223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 xml:space="preserve">'No competitor combines all four' </w:t>
            </w:r>
          </w:p>
        </w:tc>
        <w:tc>
          <w:tcPr>
            <w:tcW w:type="dxa" w:w="4320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Partly true — see Section 6</w:t>
            </w:r>
          </w:p>
        </w:tc>
        <w:tc>
          <w:tcPr>
            <w:tcW w:type="dxa" w:w="2808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Reword to the defensible version; add Komunidad/Infocast watch-list.</w:t>
            </w:r>
          </w:p>
        </w:tc>
      </w:tr>
    </w:tbl>
    <w:p>
      <w:pPr>
        <w:spacing w:after="40"/>
      </w:pPr>
    </w:p>
    <w:p>
      <w:pPr>
        <w:pStyle w:val="Heading1"/>
      </w:pPr>
      <w:r>
        <w:t>4. LARGE — how big is this, locally and globally?</w:t>
      </w:r>
    </w:p>
    <w:p>
      <w:r>
        <w:rPr>
          <w:b/>
          <w:color w:val="1E7B3C"/>
        </w:rPr>
        <w:t xml:space="preserve">Verdict: PASS. </w:t>
      </w:r>
      <w:r>
        <w:rPr>
          <w:b w:val="0"/>
        </w:rPr>
        <w:t>The denominators are enormous and the events are not slowing.</w:t>
      </w:r>
    </w:p>
    <w:p>
      <w:pPr>
        <w:pStyle w:val="ListBullet"/>
        <w:spacing w:after="60"/>
      </w:pPr>
      <w:r>
        <w:rPr>
          <w:b/>
        </w:rPr>
        <w:t xml:space="preserve">#1 disaster-risk country on Earth: </w:t>
      </w:r>
      <w:r>
        <w:t>WorldRiskIndex 2025 ranks PH 1st of 193 (score 46.56) — the 21st consecutive year at the top of the report series; the 2025 edition's theme is floods; Metro Manila province-level flood-risk score 81.12, Pampanga 83.49 (Bulacan sits between the two hotspots) [S15, S16].</w:t>
      </w:r>
    </w:p>
    <w:p>
      <w:pPr>
        <w:pStyle w:val="ListBullet"/>
        <w:spacing w:after="60"/>
      </w:pPr>
      <w:r>
        <w:rPr>
          <w:b/>
        </w:rPr>
        <w:t xml:space="preserve">Exposure: </w:t>
      </w:r>
      <w:r>
        <w:t>~19–20 tropical cyclones enter PAR yearly (~9 landfalls); ~74% of the population is vulnerable to multiple hazards; floods + storms = ~80% of PH disaster events 1970–2020 [S16].</w:t>
      </w:r>
    </w:p>
    <w:p>
      <w:pPr>
        <w:pStyle w:val="ListBullet"/>
        <w:spacing w:after="60"/>
      </w:pPr>
      <w:r>
        <w:rPr>
          <w:b/>
        </w:rPr>
        <w:t xml:space="preserve">Denominators: </w:t>
      </w:r>
      <w:r>
        <w:t>42,046 barangays; 1,642 cities + municipalities; no official 'flood-prone barangay' count exists — best proxy: NOAH's DREAM program mapped 5,060+ barangays across the 18 major river basins by 2014, and single storms now hit 16–18 of 18 regions. Pilot site check: Marilao's MDRRMO monitors at least 8 of its 16 barangays as flood-prone; one 2020 event submerged 132 Bulacan villages [S17, S18].</w:t>
      </w:r>
    </w:p>
    <w:p>
      <w:r>
        <w:rPr>
          <w:b/>
          <w:i w:val="0"/>
        </w:rPr>
        <w:t>Recent events (independent verification that the problem is current, not historical):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Event</w:t>
            </w:r>
          </w:p>
        </w:tc>
        <w:tc>
          <w:tcPr>
            <w:tcW w:type="dxa" w:w="115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66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Human toll</w:t>
            </w:r>
          </w:p>
        </w:tc>
        <w:tc>
          <w:tcPr>
            <w:tcW w:type="dxa" w:w="309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Carina/Gaemi + habagat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Jul 2024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  <w:t>~39–48 dead; 4.8M affected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₱4.3B infra damage; Metro Manila + Central Luzon (incl. Bulacan) [S19]</w:t>
            </w:r>
          </w:p>
        </w:tc>
      </w:tr>
      <w:tr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Kristine/Trami</w:t>
            </w:r>
          </w:p>
        </w:tc>
        <w:tc>
          <w:tcPr>
            <w:tcW w:type="dxa" w:w="115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Oct 2024</w:t>
            </w:r>
          </w:p>
        </w:tc>
        <w:tc>
          <w:tcPr>
            <w:tcW w:type="dxa" w:w="2664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145 dead; 7.9M affected; 685k displaced</w:t>
            </w:r>
          </w:p>
        </w:tc>
        <w:tc>
          <w:tcPr>
            <w:tcW w:type="dxa" w:w="3096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17 of 18 regions; 104,740 homes damaged [S20]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Monsoon + Crising/Dante/Emong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Jul 2025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  <w:t>34 dead; 6.67M affected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₱7.36B infra + ₱1.68B agri; calamity states in NCR/Cavite [S21]</w:t>
            </w:r>
          </w:p>
        </w:tc>
      </w:tr>
      <w:tr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Kalmaegi/Tino</w:t>
            </w:r>
          </w:p>
        </w:tc>
        <w:tc>
          <w:tcPr>
            <w:tcW w:type="dxa" w:w="115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Nov 2025</w:t>
            </w:r>
          </w:p>
        </w:tc>
        <w:tc>
          <w:tcPr>
            <w:tcW w:type="dxa" w:w="2664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250+ dead, 100+ missing</w:t>
            </w:r>
          </w:p>
        </w:tc>
        <w:tc>
          <w:tcPr>
            <w:tcW w:type="dxa" w:w="3096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Catastrophic Cebu flash floods — deadliest PH storm of 2025 [S22]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Fung-wong/Uwan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9"/>
              </w:rPr>
              <w:t>Nov 2025</w:t>
            </w:r>
          </w:p>
        </w:tc>
        <w:tc>
          <w:tcPr>
            <w:tcW w:type="dxa" w:w="2664"/>
          </w:tcPr>
          <w:p>
            <w:pPr>
              <w:spacing w:after="40"/>
            </w:pPr>
            <w:r>
              <w:rPr>
                <w:sz w:val="19"/>
              </w:rPr>
              <w:t>33 dead; 1.4–1.5M displaced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  <w:t>Super typhoon; 16 of 18 regions; national state of emergency [S23]</w:t>
            </w:r>
          </w:p>
        </w:tc>
      </w:tr>
      <w:tr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Basyang/Penha</w:t>
            </w:r>
          </w:p>
        </w:tc>
        <w:tc>
          <w:tcPr>
            <w:tcW w:type="dxa" w:w="1152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Feb 2026</w:t>
            </w:r>
          </w:p>
        </w:tc>
        <w:tc>
          <w:tcPr>
            <w:tcW w:type="dxa" w:w="2664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12 dead; 64,360 families affected</w:t>
            </w:r>
          </w:p>
        </w:tc>
        <w:tc>
          <w:tcPr>
            <w:tcW w:type="dxa" w:w="3096"/>
            <w:shd w:val="clear" w:color="auto" w:fill="F3F7FA"/>
          </w:tcPr>
          <w:p>
            <w:pPr>
              <w:spacing w:after="40"/>
            </w:pPr>
            <w:r>
              <w:rPr>
                <w:sz w:val="19"/>
              </w:rPr>
              <w:t>N. Mindanao rainfall exceeded 100-yr return period [S23]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Economic scale: </w:t>
      </w:r>
      <w:r>
        <w:t>World Bank: disasters cost PH &gt;1% of GDP/yr; average annual asset losses ≈ $3.5B (~₱204B); GHD projects $124B GDP loss 2022–2050, &gt;90% from floods/storms [S24, S25].</w:t>
      </w:r>
    </w:p>
    <w:p>
      <w:pPr>
        <w:pStyle w:val="ListBullet"/>
        <w:spacing w:after="60"/>
      </w:pPr>
      <w:r>
        <w:rPr>
          <w:b/>
        </w:rPr>
        <w:t xml:space="preserve">Global frame: </w:t>
      </w:r>
      <w:r>
        <w:t>mass-notification/emergency-alerting market ≈ $17–20B (2025) growing 15–24% CAGR toward $76–88B by 2033–35; UN EW4All action plan is $3.1B (2023–27). Daluyan's category is globally large; the PH is arguably its single most concentrated use case [S26, S27, S28].</w:t>
      </w:r>
    </w:p>
    <w:p>
      <w:pPr>
        <w:pStyle w:val="Heading1"/>
      </w:pPr>
      <w:r>
        <w:t>5. SIGNIFICANT — severe consequences, and someone structurally able to act?</w:t>
      </w:r>
    </w:p>
    <w:p>
      <w:r>
        <w:rPr>
          <w:b/>
          <w:color w:val="1E7B3C"/>
        </w:rPr>
        <w:t xml:space="preserve">Verdict: PASS </w:t>
      </w:r>
      <w:r>
        <w:rPr>
          <w:b w:val="0"/>
        </w:rPr>
        <w:t>on severity and mandate; Medium confidence on the payer path (which the brief already treats honestly as Year 3+).</w:t>
      </w:r>
    </w:p>
    <w:p>
      <w:pPr>
        <w:pStyle w:val="ListBullet"/>
        <w:spacing w:after="60"/>
      </w:pPr>
      <w:r>
        <w:rPr>
          <w:b/>
        </w:rPr>
        <w:t xml:space="preserve">Warning works — the intervention class is proven: </w:t>
      </w:r>
      <w:r>
        <w:t>UN SG (Oct 2025): disaster mortality is ~6x lower in countries with good EWS; 24 hours' notice cuts damage up to 30%. Bangladesh's CPP — structurally Daluyan's ancestor: trained village relays downstream of national forecasts — coincided with a ~100-fold fall in cyclone deaths since 1970 [S28, S29, S48].</w:t>
      </w:r>
    </w:p>
    <w:p>
      <w:pPr>
        <w:pStyle w:val="ListBullet"/>
        <w:spacing w:after="60"/>
      </w:pPr>
      <w:r>
        <w:rPr>
          <w:b/>
        </w:rPr>
        <w:t xml:space="preserve">Money is mandated locally: </w:t>
      </w:r>
      <w:r>
        <w:t>RA 10121 requires ≥5% of estimated regular revenue as LDRRMF at every LGU level, 70% earmarked for prevention/preparedness — and DILG explicitly lists early-warning systems as an eligible expense. Marilao's national tax allotment alone (₱643.8M, 2024) implies a ≥₱32M/yr LDRRMF floor, ~₱22M of it in the preparedness bucket. Barangay funds are too small (~₱100k–500k/yr); the municipality is the realistic Year-3+ customer [S30–S32].</w:t>
      </w:r>
    </w:p>
    <w:p>
      <w:pPr>
        <w:pStyle w:val="ListBullet"/>
        <w:spacing w:after="60"/>
      </w:pPr>
      <w:r>
        <w:rPr>
          <w:b/>
        </w:rPr>
        <w:t xml:space="preserve">Political timing is unusually good: </w:t>
      </w:r>
      <w:r>
        <w:t>the 2025 flood-control corruption scandal (421 ghost projects found among 8,000 inspected; &gt;₱100B estimated lost 2023–25; Senate probe; new Independent Commission for Infrastructure) has made cheap, transparent, software-based, auditable resilience spending politically attractive — Daluyan's full audit log is a feature made for this moment [S38]. RA 12287 (2025) institutionalizes anticipatory action, normatively legitimizing pre-disaster spending [S36].</w:t>
      </w:r>
    </w:p>
    <w:p>
      <w:pPr>
        <w:pStyle w:val="ListBullet"/>
        <w:spacing w:after="60"/>
      </w:pPr>
      <w:r>
        <w:rPr>
          <w:b/>
        </w:rPr>
        <w:t xml:space="preserve">Grant landscape (the actual near-term payer): </w:t>
      </w:r>
      <w:r>
        <w:t>USAID is gone (ceased operations Jul 1, 2025; ~95% of PH program value cut) — the pool shrank. Still live and well-matched: OCHA's Anticipatory Action Framework for PH tropical cyclones (2025–26, CERF-backed), Start Network funds, GCF's $103.2M EW4All approval with UNDP (Feb 2025), CREWS/SOFF channels, plus PH-local funders (PDRF, Oscar M. Lopez Center) [S34, S35, S37].</w:t>
      </w:r>
    </w:p>
    <w:p>
      <w:r>
        <w:rPr>
          <w:b/>
          <w:i w:val="0"/>
        </w:rPr>
        <w:t>Counter-evidence taken seriously:</w:t>
      </w:r>
    </w:p>
    <w:p>
      <w:pPr>
        <w:pStyle w:val="ListBullet"/>
        <w:spacing w:after="60"/>
      </w:pPr>
      <w:r>
        <w:rPr>
          <w:b/>
        </w:rPr>
        <w:t xml:space="preserve">LGUs underspend the very fund that would pay: </w:t>
      </w:r>
      <w:r>
        <w:t>COA flagged 70 LGUs at 1.4–67% LDRRMF utilization (2024); Taguig left ₱2.12B unspent — 'fear of disallowance' culture. Flip side: unspent 70%-preparedness money is what a cheap, clearly-eligible, audit-friendly line item can absorb — but procurement inertia is the #1 threat to the Year-3 B2G thesis [S33].</w:t>
      </w:r>
    </w:p>
    <w:p>
      <w:pPr>
        <w:pStyle w:val="ListBullet"/>
        <w:spacing w:after="60"/>
      </w:pPr>
      <w:r>
        <w:rPr>
          <w:b/>
        </w:rPr>
        <w:t xml:space="preserve">Warnings alone don't zero deaths: </w:t>
      </w:r>
      <w:r>
        <w:t>Kalmaegi killed 250+ despite warnings and evacuations. Claim the dissemination gap, never the whole death toll [S22].</w:t>
      </w:r>
    </w:p>
    <w:p>
      <w:pPr>
        <w:pStyle w:val="ListBullet"/>
        <w:spacing w:after="60"/>
      </w:pPr>
      <w:r>
        <w:rPr>
          <w:b/>
        </w:rPr>
        <w:t xml:space="preserve">Free incumbent: </w:t>
      </w:r>
      <w:r>
        <w:t>RA 10639 cell broadcast is free by law; Daluyan competes on actionability, locality, language, and the reply channel — not on being an alert [S54].</w:t>
      </w:r>
    </w:p>
    <w:p>
      <w:pPr>
        <w:pStyle w:val="Heading1"/>
      </w:pPr>
      <w:r>
        <w:t>6. Competition &amp; differentiation — is the wedge real?</w:t>
      </w:r>
    </w:p>
    <w:p>
      <w:r>
        <w:rPr>
          <w:b/>
          <w:color w:val="9A6A00"/>
        </w:rPr>
        <w:t xml:space="preserve">Verdict: PARTLY TRUE — reword it. </w:t>
      </w:r>
      <w:r>
        <w:rPr>
          <w:b w:val="0"/>
        </w:rPr>
        <w:t>Defensible: 'No system deployed in the Philippines today combines all four pillars for flood warning at barangay level.' As originally worded ('no existing system…'), it is falsifiable in any diligence meeting: Bangladesh's CPP does all four with humans, and platform players are one-to-two features away.</w:t>
      </w:r>
    </w:p>
    <w:p>
      <w:r>
        <w:rPr>
          <w:b w:val="0"/>
          <w:i/>
          <w:sz w:val="19"/>
        </w:rPr>
        <w:t>Pillars: P1 offline reach (non-smartphone, no internet) · P2 two-way · P3 regional language · P4 household-actionable guidance.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2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57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type="dxa" w:w="57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type="dxa" w:w="57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P3</w:t>
            </w:r>
          </w:p>
        </w:tc>
        <w:tc>
          <w:tcPr>
            <w:tcW w:type="dxa" w:w="57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P4</w:t>
            </w:r>
          </w:p>
        </w:tc>
        <w:tc>
          <w:tcPr>
            <w:tcW w:type="dxa" w:w="453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Status / note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NDRRMC ECBS (RA 10639)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FF3D9"/>
          </w:tcPr>
          <w:p>
            <w:pPr>
              <w:spacing w:after="40"/>
            </w:pPr>
            <w:r>
              <w:rPr>
                <w:sz w:val="18"/>
              </w:rPr>
              <w:t>±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Active; free; generic content; one-way by design [S6, S39]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PAGASA channels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Upstream forecaster, not a relay; Daluyan consumes it [S39]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Batingaw app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Effectively dead (no activity since ~2019) [S39]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Smart Infocast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FF3D9"/>
          </w:tcPr>
          <w:p>
            <w:pPr>
              <w:spacing w:after="40"/>
            </w:pPr>
            <w:r>
              <w:rPr>
                <w:sz w:val="18"/>
              </w:rPr>
              <w:t>±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Alive, low-profile; 350+ LGU partners; one-way blast; closest incumbent channel [S41]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Rappler Project Agos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FF3D9"/>
          </w:tcPr>
          <w:p>
            <w:pPr>
              <w:spacing w:after="40"/>
            </w:pPr>
            <w:r>
              <w:rPr>
                <w:sz w:val="18"/>
              </w:rPr>
              <w:t>±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Dormant as a platform (assets frozen 2018; now a chat room) [S39]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UP NOAH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Hazard-map data layer (₱1B refresh, Dec 2025) — an input, not a competitor [S44]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Google Flood Hub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FF3D9"/>
          </w:tcPr>
          <w:p>
            <w:pPr>
              <w:spacing w:after="40"/>
            </w:pPr>
            <w:r>
              <w:rPr>
                <w:sz w:val="18"/>
              </w:rPr>
              <w:t>±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Riverine only; Android/Search delivery; funds offline relays in IN/BD — validates the gap [S43]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Komunidad</w:t>
            </w:r>
          </w:p>
        </w:tc>
        <w:tc>
          <w:tcPr>
            <w:tcW w:type="dxa" w:w="576"/>
            <w:shd w:val="clear" w:color="auto" w:fill="FFF3D9"/>
          </w:tcPr>
          <w:p>
            <w:pPr>
              <w:spacing w:after="40"/>
            </w:pPr>
            <w:r>
              <w:rPr>
                <w:sz w:val="18"/>
              </w:rPr>
              <w:t>±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FFF3D9"/>
          </w:tcPr>
          <w:p>
            <w:pPr>
              <w:spacing w:after="40"/>
            </w:pPr>
            <w:r>
              <w:rPr>
                <w:sz w:val="18"/>
              </w:rPr>
              <w:t>±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ACTIVE THREAT: sells barangay-granular EWS to LGUs (QC: 142 barangays); SMS/Viber outbound; no citizen reply loop — yet [S42]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LGU sirens (Marikina model)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FFF3D9"/>
          </w:tcPr>
          <w:p>
            <w:pPr>
              <w:spacing w:after="40"/>
            </w:pPr>
            <w:r>
              <w:rPr>
                <w:sz w:val="18"/>
              </w:rPr>
              <w:t>±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Gold standard analog; city-wide, one-way, no household specificity [S39]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Viber/FB groups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The behavioral incumbent at barangay level; smartphone+data only; unstructured [S45]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engageSPARK (platform)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Cebu-based; toll-free two-way SMS exists today; a capable NGO could assemble ~70% of Daluyan on it [S47]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UNICEF RapidPro (platform)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FBE9E9"/>
          </w:tcPr>
          <w:p>
            <w:pPr>
              <w:spacing w:after="40"/>
            </w:pPr>
            <w:r>
              <w:rPr>
                <w:sz w:val="18"/>
              </w:rPr>
              <w:t>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Open-source flow engine; zero flood ontology/PH channel setup; base, not product [S46]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Bangladesh CPP (human system)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576"/>
            <w:shd w:val="clear" w:color="auto" w:fill="E5F2E5"/>
          </w:tcPr>
          <w:p>
            <w:pPr>
              <w:spacing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  <w:t>All four pillars — via 55,000 drilled volunteers, flags &amp; megaphones. The precedent that forces the reworded claim [S48]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Where the moat actually is (and isn't):</w:t>
      </w:r>
    </w:p>
    <w:p>
      <w:pPr>
        <w:pStyle w:val="ListBullet"/>
        <w:spacing w:after="60"/>
      </w:pPr>
      <w:r>
        <w:rPr>
          <w:b/>
        </w:rPr>
        <w:t xml:space="preserve">Not the tech: </w:t>
      </w:r>
      <w:r>
        <w:t>SAFE/EVAC keyword routing is a switch statement; engageSPARK/RapidPro prove the plumbing is commodity. Weeks to replicate.</w:t>
      </w:r>
    </w:p>
    <w:p>
      <w:pPr>
        <w:pStyle w:val="ListBullet"/>
        <w:spacing w:after="60"/>
      </w:pPr>
      <w:r>
        <w:rPr>
          <w:b/>
        </w:rPr>
        <w:t xml:space="preserve">The moat candidates: </w:t>
      </w:r>
      <w:r>
        <w:t>(a) the productized barangay flood workflow — keyword taxonomy, evac-route status model, a triage console sized for a tanod, not an EOC; (b) a native-speaker-validated regional-language template library (GSMA flags dialect diversity as an unsolved PH EWS gap); (c) per-barangay opt-in rosters + official trust, which accrete and don't transfer; (d) institutional legitimacy (barangay resolutions, DILG/OCD blessing, LDRRMF eligibility).</w:t>
      </w:r>
    </w:p>
    <w:p>
      <w:pPr>
        <w:pStyle w:val="ListBullet"/>
        <w:spacing w:after="60"/>
      </w:pPr>
      <w:r>
        <w:rPr>
          <w:b/>
        </w:rPr>
        <w:t xml:space="preserve">Kill-shot risk: </w:t>
      </w:r>
      <w:r>
        <w:t>Komunidad or Smart bolting keyword replies onto an existing LGU contract. Defense: speed to barangay lock-in and depth in the workflow they won't prioritize for one small vertical.</w:t>
      </w:r>
    </w:p>
    <w:p>
      <w:pPr>
        <w:pStyle w:val="Heading1"/>
      </w:pPr>
      <w:r>
        <w:t>7. BUILDABLE — can this actually be implemented?</w:t>
      </w:r>
    </w:p>
    <w:p>
      <w:r>
        <w:rPr>
          <w:b/>
          <w:color w:val="1E7B3C"/>
        </w:rPr>
        <w:t xml:space="preserve">Verdict: PASS — with one required architecture change. </w:t>
      </w:r>
      <w:r>
        <w:rPr>
          <w:b w:val="0"/>
        </w:rPr>
        <w:t>Everything in the Phase 1 spec is solo-builder-feasible in Node/Python + SQLite/Postgres — except the two-way loop as specified.</w:t>
      </w:r>
    </w:p>
    <w:p>
      <w:pPr>
        <w:pStyle w:val="Heading2"/>
      </w:pPr>
      <w:r>
        <w:t>7.1 The finding that changes the architecture</w:t>
      </w:r>
    </w:p>
    <w:p>
      <w:r>
        <w:rPr>
          <w:b w:val="0"/>
          <w:i w:val="0"/>
        </w:rPr>
        <w:t>Semaphore cannot receive SMS. Its full API (verified directly, July 5, 2026) exposes only: send, bulk send (≤1,000 numbers/call), priority queue (2 credits), OTP route, and retrieval of OUTGOING messages/account. No inbound endpoint, no webhooks, no virtual numbers [S50]. The Phase 1 brief's 'two-way keyword SMS via Semaphore' is not implementable as written. Required hybrid: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44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73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Cost</w:t>
            </w:r>
          </w:p>
        </w:tc>
        <w:tc>
          <w:tcPr>
            <w:tcW w:type="dxa" w:w="252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8"/>
              </w:rPr>
              <w:t>Outbound alerts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  <w:t>Semaphore, registered sender ID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₱0.56/SMS (≈2–3 min typical delivery; 1 bulk call covers 600 households; priority route 2 credits)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All alert waves; OTP route available as congestion-resistant fallback</w:t>
            </w:r>
          </w:p>
        </w:tc>
      </w:tr>
      <w:tr>
        <w:tc>
          <w:tcPr>
            <w:tcW w:type="dxa" w:w="165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Inbound replies (pilot)</w:t>
            </w:r>
          </w:p>
        </w:tc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Android SIM gateway (e.g., capcom6/android-sms-gateway or httpSMS) — a spare phone + unli-text SIM exposing a webhook</w:t>
            </w:r>
          </w:p>
        </w:tc>
        <w:tc>
          <w:tcPr>
            <w:tcW w:type="dxa" w:w="273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~₱0/mo + ₱150–300 promo load; phone ₱2,500–4,000 one-time</w:t>
            </w:r>
          </w:p>
        </w:tc>
        <w:tc>
          <w:tcPr>
            <w:tcW w:type="dxa" w:w="25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Residents text a normal 09xx number; replies hit the Daluyan webhook. Known limits: single point of failure, consumer-SIM ToS gray zone, device sits in the hazard zone — acceptable for a 1-barangay pilot only</w:t>
            </w:r>
          </w:p>
        </w:tc>
      </w:tr>
      <w:tr>
        <w:tc>
          <w:tcPr>
            <w:tcW w:type="dxa" w:w="1656"/>
          </w:tcPr>
          <w:p>
            <w:pPr>
              <w:spacing w:after="40"/>
            </w:pPr>
            <w:r>
              <w:rPr>
                <w:sz w:val="18"/>
              </w:rPr>
              <w:t>Inbound (graduation)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  <w:t>engageSPARK toll-free 22585 number (reverse-billed)</w:t>
            </w:r>
          </w:p>
        </w:tc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$250/mo dedicated (+$0.02/SMS each way) + platform from $340/mo — NGO discounts invited, unconfirmed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sz w:val="18"/>
              </w:rPr>
              <w:t>Free for residents to text (Globe even at zero load; Smart needs ≥₱1 load). The institutional path once replies must be free and reliable</w:t>
            </w:r>
          </w:p>
        </w:tc>
      </w:tr>
      <w:tr>
        <w:tc>
          <w:tcPr>
            <w:tcW w:type="dxa" w:w="165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Ruled out</w:t>
            </w:r>
          </w:p>
        </w:tc>
        <w:tc>
          <w:tcPr>
            <w:tcW w:type="dxa" w:w="244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Twilio PH</w:t>
            </w:r>
          </w:p>
        </w:tc>
        <w:tc>
          <w:tcPr>
            <w:tcW w:type="dxa" w:w="2736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$0.241/SMS outbound (24x Semaphore) + $120/mo number</w:t>
            </w:r>
          </w:p>
        </w:tc>
        <w:tc>
          <w:tcPr>
            <w:tcW w:type="dxa" w:w="252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Economically absurd for this use case [S51]</w:t>
            </w:r>
          </w:p>
        </w:tc>
      </w:tr>
    </w:tbl>
    <w:p>
      <w:pPr>
        <w:spacing w:after="40"/>
      </w:pPr>
    </w:p>
    <w:p>
      <w:pPr>
        <w:pStyle w:val="Heading2"/>
      </w:pPr>
      <w:r>
        <w:t>7.2 Regulatory reality (post-SIM Registration Act)</w:t>
      </w:r>
    </w:p>
    <w:p>
      <w:pPr>
        <w:pStyle w:val="ListBullet"/>
        <w:spacing w:after="60"/>
      </w:pPr>
      <w:r>
        <w:rPr>
          <w:b/>
        </w:rPr>
        <w:t xml:space="preserve">Sender IDs: </w:t>
      </w:r>
      <w:r>
        <w:t>registration is mandatory in practice — telcos hard-block unregistered alphanumeric sender IDs (enforced ~Apr 7, 2025). 'BRGY-XXX'-style IDs are registrable via the aggregator (≤5 business days at Semaphore); a barangay resolution materially helps a government-sounding name pass review, and once registered, the post-2022 regime prevents others spoofing it through legitimate aggregators [S50, S51].</w:t>
      </w:r>
    </w:p>
    <w:p>
      <w:pPr>
        <w:pStyle w:val="ListBullet"/>
        <w:spacing w:after="60"/>
      </w:pPr>
      <w:r>
        <w:rPr>
          <w:b/>
        </w:rPr>
        <w:t xml:space="preserve">Content rules: </w:t>
      </w:r>
      <w:r>
        <w:t>NTC MO 005-04-2023 — telcos block SMS containing links/URLs/QR codes from unregistered senders; aggregator rules additionally filter phone numbers and personal names in content. Alert copy must be plain instructions: no links, no numbers, no names. Daluyan's conservative-copy guardrail already complies; make it a hard template-linter rule [S52, S53].</w:t>
      </w:r>
    </w:p>
    <w:p>
      <w:pPr>
        <w:pStyle w:val="ListBullet"/>
        <w:spacing w:after="60"/>
      </w:pPr>
      <w:r>
        <w:rPr>
          <w:b/>
        </w:rPr>
        <w:t xml:space="preserve">RA 10639: </w:t>
      </w:r>
      <w:r>
        <w:t>obligates telcos only; neither blocks nor subsidizes Daluyan. It means residents can never be charged for alerts — consistent with the brief's business model — and Daluyan pays retail for every SMS [S54].</w:t>
      </w:r>
    </w:p>
    <w:p>
      <w:pPr>
        <w:pStyle w:val="ListBullet"/>
        <w:spacing w:after="60"/>
      </w:pPr>
      <w:r>
        <w:rPr>
          <w:b/>
        </w:rPr>
        <w:t xml:space="preserve">Data privacy: </w:t>
      </w:r>
      <w:r>
        <w:t>household vulnerability flags = sensitive personal information under the DPA. Requires recorded consent, a designated DPO, and NPC registration if ≥1,000 data subjects. Cleanest structure: the barangay is the personal-information controller (government PIC), builder is the processor under an outsourcing agreement; one contact per household keeps a 600-household pilot under the 1,000 threshold [S55].</w:t>
      </w:r>
    </w:p>
    <w:p>
      <w:pPr>
        <w:pStyle w:val="ListBullet"/>
        <w:spacing w:after="60"/>
      </w:pPr>
      <w:r>
        <w:rPr>
          <w:b/>
        </w:rPr>
        <w:t xml:space="preserve">Practical prerequisite: </w:t>
      </w:r>
      <w:r>
        <w:t>a sangguniang barangay resolution adopting Daluyan into the Barangay DRRM plan — it legitimizes the sender ID, anchors the PIC question, and is the future LDRRMF hook.</w:t>
      </w:r>
    </w:p>
    <w:p>
      <w:pPr>
        <w:pStyle w:val="Heading2"/>
      </w:pPr>
      <w:r>
        <w:t>7.3 Cost and effort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1944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Monthly (₱)</w:t>
            </w:r>
          </w:p>
        </w:tc>
        <w:tc>
          <w:tcPr>
            <w:tcW w:type="dxa" w:w="396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Outbound SMS: 600 hh × 6 msgs ≈ 3,600 (+~25% two-segment)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  <w:t>~2,520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  <w:t>One full drill/month at ₱0.56; ×2 for priority-queue waves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Outbound acks/auto-replies (~1,200)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  <w:t>~672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Inbound (Android gateway)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  <w:t>~0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  <w:t>Receiving is free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Gateway SIM unli-text promo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  <w:t>150–300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Hosting (Railway Hobby $5 / Render $7 warm)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  <w:t>285–400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  <w:t>Avoid free tiers that sleep — webhooks must stay up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9"/>
              </w:rPr>
              <w:t>Domain</w:t>
            </w:r>
          </w:p>
        </w:tc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  <w:t>~60</w:t>
            </w:r>
          </w:p>
        </w:tc>
        <w:tc>
          <w:tcPr>
            <w:tcW w:type="dxa" w:w="3960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4896"/>
            <w:shd w:val="clear" w:color="auto" w:fill="D9E7EE"/>
          </w:tcPr>
          <w:p>
            <w:pPr>
              <w:spacing w:after="40"/>
            </w:pPr>
            <w:r>
              <w:rPr>
                <w:sz w:val="19"/>
              </w:rPr>
              <w:t>TOTAL</w:t>
            </w:r>
          </w:p>
        </w:tc>
        <w:tc>
          <w:tcPr>
            <w:tcW w:type="dxa" w:w="1944"/>
            <w:shd w:val="clear" w:color="auto" w:fill="D9E7EE"/>
          </w:tcPr>
          <w:p>
            <w:pPr>
              <w:spacing w:after="40"/>
            </w:pPr>
            <w:r>
              <w:rPr>
                <w:sz w:val="19"/>
              </w:rPr>
              <w:t>≈ ₱3,700–4,000 (~US$65–70)</w:t>
            </w:r>
          </w:p>
        </w:tc>
        <w:tc>
          <w:tcPr>
            <w:tcW w:type="dxa" w:w="3960"/>
            <w:shd w:val="clear" w:color="auto" w:fill="D9E7EE"/>
          </w:tcPr>
          <w:p>
            <w:pPr>
              <w:spacing w:after="40"/>
            </w:pPr>
            <w:r>
              <w:rPr>
                <w:sz w:val="19"/>
              </w:rPr>
              <w:t>One-time: gateway phone ₱2,500–4,000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 xml:space="preserve">Resident reply cost: </w:t>
      </w:r>
      <w:r>
        <w:t>₱1/SMS at no-promo prepaid rates; unli-text promos (₱15/2-day class) make many users' marginal cost ₱0 — but the poorest, zero-load households are exactly the priority users. Design rules: never require more than ONE reply per event; treat non-reply as signal (unreached list → door-knock), not absence.</w:t>
      </w:r>
    </w:p>
    <w:p>
      <w:pPr>
        <w:pStyle w:val="ListBullet"/>
        <w:spacing w:after="60"/>
      </w:pPr>
      <w:r>
        <w:rPr>
          <w:b/>
        </w:rPr>
        <w:t xml:space="preserve">Build-vs-buy: </w:t>
      </w:r>
      <w:r>
        <w:t>RapidPro self-hosting is officially discouraged below large scale and doesn't solve PH channels; for a solo builder, 4–5 flat tables + a keyword router is days of work. Build. (engageSPARK-hosted is the only sensible 'buy' if NGO pricing lands.) [S46, S47]</w:t>
      </w:r>
    </w:p>
    <w:p>
      <w:pPr>
        <w:pStyle w:val="ListBullet"/>
        <w:spacing w:after="60"/>
      </w:pPr>
      <w:r>
        <w:rPr>
          <w:b/>
        </w:rPr>
        <w:t xml:space="preserve">Network reality: </w:t>
      </w:r>
      <w:r>
        <w:t>expect partial-to-total SMS blackout at peak impact (Haiyan, Odette precedents); telcos restore in days-to-weeks with free-charging stations. Daluyan's value window: pre-landfall waves + post-restoration needs assessment (HELP/MEDICINE). Retry queues must survive multi-hour dead zones [S10].</w:t>
      </w:r>
    </w:p>
    <w:p>
      <w:pPr>
        <w:pStyle w:val="Heading1"/>
      </w:pPr>
      <w:r>
        <w:t>8. Risks and open evidence gaps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Risk / gap</w:t>
            </w:r>
          </w:p>
        </w:tc>
        <w:tc>
          <w:tcPr>
            <w:tcW w:type="dxa" w:w="1440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328"/>
            <w:shd w:val="clear" w:color="auto" w:fill="D9E7EE"/>
          </w:tcPr>
          <w:p>
            <w:pPr>
              <w:spacing w:after="40"/>
            </w:pPr>
            <w:r>
              <w:rPr>
                <w:b/>
                <w:sz w:val="18"/>
              </w:rPr>
              <w:t>Mitigation / test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n=3 field interviews, one site, Tagalog smartphone owners only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8"/>
              </w:rPr>
              <w:t>Phase 1 gate: 20+ resident + 5+ stakeholder interviews; ≥1 Cebuano/Ilocano/Hiligaynon household (the brief already commits to this — hold the line)</w:t>
            </w:r>
          </w:p>
        </w:tc>
      </w:tr>
      <w:tr>
        <w:tc>
          <w:tcPr>
            <w:tcW w:type="dxa" w:w="403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Regional-language pillar entirely untested</w:t>
            </w:r>
          </w:p>
        </w:tc>
        <w:tc>
          <w:tcPr>
            <w:tcW w:type="dxa" w:w="144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53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Second pilot site in a non-Tagalog region before claiming the pillar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Komunidad/Smart bolt-on kill-shot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Medium-High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8"/>
              </w:rPr>
              <w:t>Speed to barangay lock-in; depth in reply-triage workflow; monitor Komunidad releases quarterly</w:t>
            </w:r>
          </w:p>
        </w:tc>
      </w:tr>
      <w:tr>
        <w:tc>
          <w:tcPr>
            <w:tcW w:type="dxa" w:w="403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LDRRMF procurement inertia (COA underspend culture)</w:t>
            </w:r>
          </w:p>
        </w:tc>
        <w:tc>
          <w:tcPr>
            <w:tcW w:type="dxa" w:w="144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Medium-High</w:t>
            </w:r>
          </w:p>
        </w:tc>
        <w:tc>
          <w:tcPr>
            <w:tcW w:type="dxa" w:w="53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Year-3 B2G only; secure grant funding now; build the COA-friendly audit trail as a selling feature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 xml:space="preserve">Inbound channel fragility (Android gateway) 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8"/>
              </w:rPr>
              <w:t>Pilot-only; graduation path to engageSPARK priced; document failure modes in drills</w:t>
            </w:r>
          </w:p>
        </w:tc>
      </w:tr>
      <w:tr>
        <w:tc>
          <w:tcPr>
            <w:tcW w:type="dxa" w:w="403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SMS trust erosion (scam texts, spoofed alerts)</w:t>
            </w:r>
          </w:p>
        </w:tc>
        <w:tc>
          <w:tcPr>
            <w:tcW w:type="dxa" w:w="144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53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Registered sender ID, rigid message format, source+timestamp in every SMS, community onboarding assemblies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>
              <w:rPr>
                <w:sz w:val="18"/>
              </w:rPr>
              <w:t>2018 vintage of the NDRRMC delay evidence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Low-Medium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18"/>
              </w:rPr>
              <w:t>Re-verify via MDRRMO/OCD stakeholder interviews in Month 1</w:t>
            </w:r>
          </w:p>
        </w:tc>
      </w:tr>
      <w:tr>
        <w:tc>
          <w:tcPr>
            <w:tcW w:type="dxa" w:w="4032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Grant pool shrunk post-USAID</w:t>
            </w:r>
          </w:p>
        </w:tc>
        <w:tc>
          <w:tcPr>
            <w:tcW w:type="dxa" w:w="1440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5328"/>
            <w:shd w:val="clear" w:color="auto" w:fill="F3F7FA"/>
          </w:tcPr>
          <w:p>
            <w:pPr>
              <w:spacing w:after="40"/>
            </w:pPr>
            <w:r>
              <w:rPr>
                <w:sz w:val="18"/>
              </w:rPr>
              <w:t>Target the verified-live pipeline: OCHA AA, Start, GCF/UNDP EW4All, PDRF, Lopez Center</w:t>
            </w:r>
          </w:p>
        </w:tc>
      </w:tr>
    </w:tbl>
    <w:p>
      <w:pPr>
        <w:spacing w:after="40"/>
      </w:pPr>
    </w:p>
    <w:p>
      <w:pPr>
        <w:pStyle w:val="Heading1"/>
      </w:pPr>
      <w:r>
        <w:t>9. Verdict and required amendments</w:t>
      </w:r>
    </w:p>
    <w:p>
      <w:r>
        <w:rPr>
          <w:b/>
          <w:color w:val="1E7B3C"/>
        </w:rPr>
        <w:t xml:space="preserve">GO. </w:t>
      </w:r>
      <w:r>
        <w:rPr>
          <w:b w:val="0"/>
        </w:rPr>
        <w:t>Daluyan passes Real, Large, and Significant on independently verified evidence, and is Buildable at ~₱4k/month pilot cost — provided these six amendments:</w:t>
      </w:r>
    </w:p>
    <w:p>
      <w:pPr>
        <w:pStyle w:val="ListBullet"/>
        <w:spacing w:after="60"/>
      </w:pPr>
      <w:r>
        <w:t>1. Architecture: hybrid gateway — Semaphore outbound + Android SIM-gateway inbound (pilot), engageSPARK toll-free as the graduation path. Semaphore alone cannot do two-way.</w:t>
      </w:r>
    </w:p>
    <w:p>
      <w:pPr>
        <w:pStyle w:val="ListBullet"/>
        <w:spacing w:after="60"/>
      </w:pPr>
      <w:r>
        <w:t>2. Stats hygiene: replace '28% rural internet' with the PSA 2024 framing; date-stamp the 5-hr delay claim (2018); soften the global 'weakest link' line to 'a recognized critical gap'.</w:t>
      </w:r>
    </w:p>
    <w:p>
      <w:pPr>
        <w:pStyle w:val="ListBullet"/>
        <w:spacing w:after="60"/>
      </w:pPr>
      <w:r>
        <w:t>3. Regulatory into product: template linter blocks links/phone numbers/names; register 'BRGY' sender ID early (needs barangay resolution); barangay = privacy controller, builder = processor; consent captured at enrollment.</w:t>
      </w:r>
    </w:p>
    <w:p>
      <w:pPr>
        <w:pStyle w:val="ListBullet"/>
        <w:spacing w:after="60"/>
      </w:pPr>
      <w:r>
        <w:t>4. Reply economics: max one requested reply per event; non-reply = unreached list = door-knock dispatch. Budget ₱1/reply friction for zero-promo households honestly in drill metrics.</w:t>
      </w:r>
    </w:p>
    <w:p>
      <w:pPr>
        <w:pStyle w:val="ListBullet"/>
        <w:spacing w:after="60"/>
      </w:pPr>
      <w:r>
        <w:t>5. Competitive posture: use the reworded differentiation claim; treat Komunidad and Smart Infocast as named watch-list threats; speed to barangay lock-in over feature breadth.</w:t>
      </w:r>
    </w:p>
    <w:p>
      <w:pPr>
        <w:pStyle w:val="ListBullet"/>
        <w:spacing w:after="60"/>
      </w:pPr>
      <w:r>
        <w:t>6. Keep the brief's own discipline: no app, no AI voice, no NLP, no resident payments; n=3 stays labeled anecdote until the 20-interview gate clears.</w:t>
      </w:r>
    </w:p>
    <w:p>
      <w:r>
        <w:rPr>
          <w:b w:val="0"/>
          <w:i w:val="0"/>
        </w:rPr>
        <w:t>Conditions to proceed past pilot (go/no-go gates): (1) 20+/5+ interviews affirm concept and reply willingness; (2) live SMS round-trip on 2 real phones incl. approved sender ID; (3) signed barangay resolution + working consent flow; (4) drill hits ≥90% delivery within 10 min and ≥30% reply rate; (5) ≥1 grant application submitted against the verified 2026 pipeline.</w:t>
      </w:r>
    </w:p>
    <w:p>
      <w:pPr>
        <w:pStyle w:val="Heading1"/>
      </w:pPr>
      <w:r>
        <w:t>10. Sources (numbered)</w:t>
      </w:r>
    </w:p>
    <w:p>
      <w:pPr>
        <w:pStyle w:val="ListBullet"/>
        <w:spacing w:after="20"/>
      </w:pPr>
      <w:r>
        <w:rPr>
          <w:sz w:val="17"/>
        </w:rPr>
        <w:t>S1 Jibiki et al. 2016, IJDRR — sciencedirect.com/science/article/abs/pii/S2212420915301771</w:t>
      </w:r>
    </w:p>
    <w:p>
      <w:pPr>
        <w:pStyle w:val="ListBullet"/>
        <w:spacing w:after="20"/>
      </w:pPr>
      <w:r>
        <w:rPr>
          <w:sz w:val="17"/>
        </w:rPr>
        <w:t>S2 Esteban et al. 2016, Coastal Engineering Journal — tandfonline.com/doi/abs/10.1142/S057856341640009X</w:t>
      </w:r>
    </w:p>
    <w:p>
      <w:pPr>
        <w:pStyle w:val="ListBullet"/>
        <w:spacing w:after="20"/>
      </w:pPr>
      <w:r>
        <w:rPr>
          <w:sz w:val="17"/>
        </w:rPr>
        <w:t>S3 Devex, 'Storm surge: lost in translation' (Nov 2013) — devex.com/news/storm-surge-lost-in-translation-and-interpretation-82311</w:t>
      </w:r>
    </w:p>
    <w:p>
      <w:pPr>
        <w:pStyle w:val="ListBullet"/>
        <w:spacing w:after="20"/>
      </w:pPr>
      <w:r>
        <w:rPr>
          <w:sz w:val="17"/>
        </w:rPr>
        <w:t>S4 Sato &amp; Nakasu, NIED Report No. 45 (2011), Ondoy — dil-opac.bosai.go.jp/publication/nied_natural_disaster/pdf/45/45-04E.pdf</w:t>
      </w:r>
    </w:p>
    <w:p>
      <w:pPr>
        <w:pStyle w:val="ListBullet"/>
        <w:spacing w:after="20"/>
      </w:pPr>
      <w:r>
        <w:rPr>
          <w:sz w:val="17"/>
        </w:rPr>
        <w:t>S5 Rappler, 'How NDRRMC issues emergency warnings' (Jul 2018) — rappler.com/environment/disasters/208117-how-ndrrmc-issues-emergency-warnings-mobile-alerts/</w:t>
      </w:r>
    </w:p>
    <w:p>
      <w:pPr>
        <w:pStyle w:val="ListBullet"/>
        <w:spacing w:after="20"/>
      </w:pPr>
      <w:r>
        <w:rPr>
          <w:sz w:val="17"/>
        </w:rPr>
        <w:t>S6 Wikipedia, Emergency Cell Broadcast System (acc. Jul 2026)</w:t>
      </w:r>
    </w:p>
    <w:p>
      <w:pPr>
        <w:pStyle w:val="ListBullet"/>
        <w:spacing w:after="20"/>
      </w:pPr>
      <w:r>
        <w:rPr>
          <w:sz w:val="17"/>
        </w:rPr>
        <w:t>S7 PCIJ, 'Inside SMS spoofing' (Jun 30, 2026) — pcij.org/2026/06/30/inside-sms-spoofing-evolving-scams-outpace-policy-enforcement/</w:t>
      </w:r>
    </w:p>
    <w:p>
      <w:pPr>
        <w:pStyle w:val="ListBullet"/>
        <w:spacing w:after="20"/>
      </w:pPr>
      <w:r>
        <w:rPr>
          <w:sz w:val="17"/>
        </w:rPr>
        <w:t>S8 DataReportal, Digital 2026: The Philippines — datareportal.com/reports/digital-2026-philippines</w:t>
      </w:r>
    </w:p>
    <w:p>
      <w:pPr>
        <w:pStyle w:val="ListBullet"/>
        <w:spacing w:after="20"/>
      </w:pPr>
      <w:r>
        <w:rPr>
          <w:sz w:val="17"/>
        </w:rPr>
        <w:t>S9 PSA NICTHS 2024 (rel. Jul 2025) — psa.gov.ph/content/percentage-households-internet-connection-increased-488-percent-2024-two-every-three</w:t>
      </w:r>
    </w:p>
    <w:p>
      <w:pPr>
        <w:pStyle w:val="ListBullet"/>
        <w:spacing w:after="20"/>
      </w:pPr>
      <w:r>
        <w:rPr>
          <w:sz w:val="17"/>
        </w:rPr>
        <w:t>S10 Field Ready, post-Odette solar charging (2022) — fieldready.org/post/powering-up-after-super-typhoon-rai-odette; Inquirer power-loss reporting</w:t>
      </w:r>
    </w:p>
    <w:p>
      <w:pPr>
        <w:pStyle w:val="ListBullet"/>
        <w:spacing w:after="20"/>
      </w:pPr>
      <w:r>
        <w:rPr>
          <w:sz w:val="17"/>
        </w:rPr>
        <w:t>S11 PreventionWeb, 'Alerts to action!' (People in Need, Bacuag) — preventionweb.net/news/alerts-action-how-our-early-warning-system-keeps-communities-safe-and-ready; Tumana EWS analysis (ResearchGate 342924090)</w:t>
      </w:r>
    </w:p>
    <w:p>
      <w:pPr>
        <w:pStyle w:val="ListBullet"/>
        <w:spacing w:after="20"/>
      </w:pPr>
      <w:r>
        <w:rPr>
          <w:sz w:val="17"/>
        </w:rPr>
        <w:t>S12 WMO, EW4All launch (Mar 2022) — wmo.int/news/media-centre/early-warning-systems-must-protect-everyone-within-five-years</w:t>
      </w:r>
    </w:p>
    <w:p>
      <w:pPr>
        <w:pStyle w:val="ListBullet"/>
        <w:spacing w:after="20"/>
      </w:pPr>
      <w:r>
        <w:rPr>
          <w:sz w:val="17"/>
        </w:rPr>
        <w:t>S13 WMO/UNDRR, Global Status of MHEWS 2025 (Nov 2025) — public.wmo.int/news/media-centre/early-warning-systems-reach-new-heights-critical-gaps-jeopardize-global-progress</w:t>
      </w:r>
    </w:p>
    <w:p>
      <w:pPr>
        <w:pStyle w:val="ListBullet"/>
        <w:spacing w:after="20"/>
      </w:pPr>
      <w:r>
        <w:rPr>
          <w:sz w:val="17"/>
        </w:rPr>
        <w:t>S14 OCHA, Typhoon Hagupit SitRep 3 (Dec 2014) — reliefweb.int/report/philippines/philippines-typhoon-hagupit-situation-report-no-3-8-december-2014</w:t>
      </w:r>
    </w:p>
    <w:p>
      <w:pPr>
        <w:pStyle w:val="ListBullet"/>
        <w:spacing w:after="20"/>
      </w:pPr>
      <w:r>
        <w:rPr>
          <w:sz w:val="17"/>
        </w:rPr>
        <w:t>S15 BusinessWorld, WorldRiskIndex 2025 (Sep 2025) — bworldonline.com/infographics/2025/09/25/700715/</w:t>
      </w:r>
    </w:p>
    <w:p>
      <w:pPr>
        <w:pStyle w:val="ListBullet"/>
        <w:spacing w:after="20"/>
      </w:pPr>
      <w:r>
        <w:rPr>
          <w:sz w:val="17"/>
        </w:rPr>
        <w:t>S16 WorldRiskReport 2025 (floods focus) — preventionweb.net/publication/documents-and-publications/world-risk-report-2025-focus-floods; CFE-DMHA PH handbook</w:t>
      </w:r>
    </w:p>
    <w:p>
      <w:pPr>
        <w:pStyle w:val="ListBullet"/>
        <w:spacing w:after="20"/>
      </w:pPr>
      <w:r>
        <w:rPr>
          <w:sz w:val="17"/>
        </w:rPr>
        <w:t>S17 PSA, PSGC barangay counts — psa.gov.ph/classification/psgc/barangays</w:t>
      </w:r>
    </w:p>
    <w:p>
      <w:pPr>
        <w:pStyle w:val="ListBullet"/>
        <w:spacing w:after="20"/>
      </w:pPr>
      <w:r>
        <w:rPr>
          <w:sz w:val="17"/>
        </w:rPr>
        <w:t>S18 DILG, LGU summary as of Mar 31, 2025 — dilg.gov.ph/facts-and-figures/…/32; Rappler DOST flood-hazard-map coverage (2014)</w:t>
      </w:r>
    </w:p>
    <w:p>
      <w:pPr>
        <w:pStyle w:val="ListBullet"/>
        <w:spacing w:after="20"/>
      </w:pPr>
      <w:r>
        <w:rPr>
          <w:sz w:val="17"/>
        </w:rPr>
        <w:t>S19 ReliefWeb, Gaemi/habagat Flash Update 2 (Jul 2024)</w:t>
      </w:r>
    </w:p>
    <w:p>
      <w:pPr>
        <w:pStyle w:val="ListBullet"/>
        <w:spacing w:after="20"/>
      </w:pPr>
      <w:r>
        <w:rPr>
          <w:sz w:val="17"/>
        </w:rPr>
        <w:t>S20 Rappler, Kristine death toll (Oct 30, 2024) — rappler.com/philippines/death-toll-kristine-leon-ndrrmc-october-30-2024/</w:t>
      </w:r>
    </w:p>
    <w:p>
      <w:pPr>
        <w:pStyle w:val="ListBullet"/>
        <w:spacing w:after="20"/>
      </w:pPr>
      <w:r>
        <w:rPr>
          <w:sz w:val="17"/>
        </w:rPr>
        <w:t>S21 Philstar, habagat toll (Jul 29, 2025) — philstar.com/headlines/2025/07/29/2461610/; Wikipedia 2025 PH monsoon floods</w:t>
      </w:r>
    </w:p>
    <w:p>
      <w:pPr>
        <w:pStyle w:val="ListBullet"/>
        <w:spacing w:after="20"/>
      </w:pPr>
      <w:r>
        <w:rPr>
          <w:sz w:val="17"/>
        </w:rPr>
        <w:t>S22 Connecting Business initiative, PH Typhoon Nov 2025 — connectingbusiness.org/ourwork/emergencies/philippines-typhoon-november-2025</w:t>
      </w:r>
    </w:p>
    <w:p>
      <w:pPr>
        <w:pStyle w:val="ListBullet"/>
        <w:spacing w:after="20"/>
      </w:pPr>
      <w:r>
        <w:rPr>
          <w:sz w:val="17"/>
        </w:rPr>
        <w:t>S23 Al Jazeera (Nov 11, 2025) Fung-wong; Rappler Uwan sitrep (Nov 12, 2025); GulfNews Basyang (Feb 2026)</w:t>
      </w:r>
    </w:p>
    <w:p>
      <w:pPr>
        <w:pStyle w:val="ListBullet"/>
        <w:spacing w:after="20"/>
      </w:pPr>
      <w:r>
        <w:rPr>
          <w:sz w:val="17"/>
        </w:rPr>
        <w:t>S24 Manila Bulletin, 'Disasters drain billions' (Nov 2024) — World Bank $3.5B/yr figure</w:t>
      </w:r>
    </w:p>
    <w:p>
      <w:pPr>
        <w:pStyle w:val="ListBullet"/>
        <w:spacing w:after="20"/>
      </w:pPr>
      <w:r>
        <w:rPr>
          <w:sz w:val="17"/>
        </w:rPr>
        <w:t>S25 GHD Aquanomics PH — aquanomics.ghd.com/en/philippines.html</w:t>
      </w:r>
    </w:p>
    <w:p>
      <w:pPr>
        <w:pStyle w:val="ListBullet"/>
        <w:spacing w:after="20"/>
      </w:pPr>
      <w:r>
        <w:rPr>
          <w:sz w:val="17"/>
        </w:rPr>
        <w:t>S26 Grand View Research, Mass Notification System Market (2025)</w:t>
      </w:r>
    </w:p>
    <w:p>
      <w:pPr>
        <w:pStyle w:val="ListBullet"/>
        <w:spacing w:after="20"/>
      </w:pPr>
      <w:r>
        <w:rPr>
          <w:sz w:val="17"/>
        </w:rPr>
        <w:t>S27 Straits Research via GlobeNewswire (Jan 2025) — $88.2B by 2033; Future Market Insights $76.7B by 2035</w:t>
      </w:r>
    </w:p>
    <w:p>
      <w:pPr>
        <w:pStyle w:val="ListBullet"/>
        <w:spacing w:after="20"/>
      </w:pPr>
      <w:r>
        <w:rPr>
          <w:sz w:val="17"/>
        </w:rPr>
        <w:t>S28 UN, Early Warnings for All page (SG quotes, Oct 2025) — un.org/en/climatechange/early-warnings-for-all</w:t>
      </w:r>
    </w:p>
    <w:p>
      <w:pPr>
        <w:pStyle w:val="ListBullet"/>
        <w:spacing w:after="20"/>
      </w:pPr>
      <w:r>
        <w:rPr>
          <w:sz w:val="17"/>
        </w:rPr>
        <w:t>S29 Our World in Data, Bangladesh cyclone resilience (2024); PMC9657222 CPP review (2022)</w:t>
      </w:r>
    </w:p>
    <w:p>
      <w:pPr>
        <w:pStyle w:val="ListBullet"/>
        <w:spacing w:after="20"/>
      </w:pPr>
      <w:r>
        <w:rPr>
          <w:sz w:val="17"/>
        </w:rPr>
        <w:t>S30 RA 10121 full text — lawphil.net/statutes/repacts/ra2010/ra_10121_2010.html</w:t>
      </w:r>
    </w:p>
    <w:p>
      <w:pPr>
        <w:pStyle w:val="ListBullet"/>
        <w:spacing w:after="20"/>
      </w:pPr>
      <w:r>
        <w:rPr>
          <w:sz w:val="17"/>
        </w:rPr>
        <w:t>S31 PIA/DILG, LDRRMF optimization incl. EWS eligibility (2025)</w:t>
      </w:r>
    </w:p>
    <w:p>
      <w:pPr>
        <w:pStyle w:val="ListBullet"/>
        <w:spacing w:after="20"/>
      </w:pPr>
      <w:r>
        <w:rPr>
          <w:sz w:val="17"/>
        </w:rPr>
        <w:t>S32 PIA/DBM, ₱17.1B NTA for Bulacan 2024 (Marilao ₱643.8M) — pia.gov.ph/dbm-allocates-p17-1b-nta-for-bulacan-in-2024-budget/</w:t>
      </w:r>
    </w:p>
    <w:p>
      <w:pPr>
        <w:pStyle w:val="ListBullet"/>
        <w:spacing w:after="20"/>
      </w:pPr>
      <w:r>
        <w:rPr>
          <w:sz w:val="17"/>
        </w:rPr>
        <w:t>S33 Rappler, COA special audit of LDRRMF (2025) — rappler.com/philippines/coa-special-audit-report-local-disaster-risk-reduction-management-fund-2024/</w:t>
      </w:r>
    </w:p>
    <w:p>
      <w:pPr>
        <w:pStyle w:val="ListBullet"/>
        <w:spacing w:after="20"/>
      </w:pPr>
      <w:r>
        <w:rPr>
          <w:sz w:val="17"/>
        </w:rPr>
        <w:t>S34 CGD, USAID cuts country estimates (2025) — cgdev.org/blog/usaid-cuts-new-estimates-country-level</w:t>
      </w:r>
    </w:p>
    <w:p>
      <w:pPr>
        <w:pStyle w:val="ListBullet"/>
        <w:spacing w:after="20"/>
      </w:pPr>
      <w:r>
        <w:rPr>
          <w:sz w:val="17"/>
        </w:rPr>
        <w:t>S35 OCHA, Anticipatory Action Framework PH tropical cyclones (Oct 3, 2025)</w:t>
      </w:r>
    </w:p>
    <w:p>
      <w:pPr>
        <w:pStyle w:val="ListBullet"/>
        <w:spacing w:after="20"/>
      </w:pPr>
      <w:r>
        <w:rPr>
          <w:sz w:val="17"/>
        </w:rPr>
        <w:t>S36 WFP, RA 12287 anticipatory action law (2025) — wfp.org/news/philippines-passes-landmark-legislation-anticipatory-action-protect-communities-disasters</w:t>
      </w:r>
    </w:p>
    <w:p>
      <w:pPr>
        <w:pStyle w:val="ListBullet"/>
        <w:spacing w:after="20"/>
      </w:pPr>
      <w:r>
        <w:rPr>
          <w:sz w:val="17"/>
        </w:rPr>
        <w:t>S37 UNDRR, EW4All scaled action / GCF $103.2M (2025)</w:t>
      </w:r>
    </w:p>
    <w:p>
      <w:pPr>
        <w:pStyle w:val="ListBullet"/>
        <w:spacing w:after="20"/>
      </w:pPr>
      <w:r>
        <w:rPr>
          <w:sz w:val="17"/>
        </w:rPr>
        <w:t>S38 Wikipedia, Flood control projects scandal; Philstar '421 ghosts among 8,000' (Oct 10, 2025); Inquirer year-end 2025</w:t>
      </w:r>
    </w:p>
    <w:p>
      <w:pPr>
        <w:pStyle w:val="ListBullet"/>
        <w:spacing w:after="20"/>
      </w:pPr>
      <w:r>
        <w:rPr>
          <w:sz w:val="17"/>
        </w:rPr>
        <w:t>S39 GSMA, Early Warning Systems in the Philippines (Jun 2022) — PhilippinesEWS_R_Web.pdf; OECD PH review (Nov 2025)</w:t>
      </w:r>
    </w:p>
    <w:p>
      <w:pPr>
        <w:pStyle w:val="ListBullet"/>
        <w:spacing w:after="20"/>
      </w:pPr>
      <w:r>
        <w:rPr>
          <w:sz w:val="17"/>
        </w:rPr>
        <w:t>S40 OECD (Nov 2025), 'uneven effectiveness due to weak last-mile integration'</w:t>
      </w:r>
    </w:p>
    <w:p>
      <w:pPr>
        <w:pStyle w:val="ListBullet"/>
        <w:spacing w:after="20"/>
      </w:pPr>
      <w:r>
        <w:rPr>
          <w:sz w:val="17"/>
        </w:rPr>
        <w:t>S41 Philstar (Jan 2, 2022) Smart Infocast 350+ partners; Rappler Infocast LGU coverage (2020)</w:t>
      </w:r>
    </w:p>
    <w:p>
      <w:pPr>
        <w:pStyle w:val="ListBullet"/>
        <w:spacing w:after="20"/>
      </w:pPr>
      <w:r>
        <w:rPr>
          <w:sz w:val="17"/>
        </w:rPr>
        <w:t>S42 TechCrunch, Komunidad seed (Oct 2021); Komunidad×QC 142-barangay EWS (Jul 20, 2022)</w:t>
      </w:r>
    </w:p>
    <w:p>
      <w:pPr>
        <w:pStyle w:val="ListBullet"/>
        <w:spacing w:after="20"/>
      </w:pPr>
      <w:r>
        <w:rPr>
          <w:sz w:val="17"/>
        </w:rPr>
        <w:t>S43 Google blog, Flood Hub 80-country expansion (May 2023); support.google.com/flood-hub; Google.org last-mile relay grants (IN/BD)</w:t>
      </w:r>
    </w:p>
    <w:p>
      <w:pPr>
        <w:pStyle w:val="ListBullet"/>
        <w:spacing w:after="20"/>
      </w:pPr>
      <w:r>
        <w:rPr>
          <w:sz w:val="17"/>
        </w:rPr>
        <w:t>S44 UP Resilience Institute, NOAH map updates 2025; Philstar ₱1B hazard-map allocation (Dec 26, 2025)</w:t>
      </w:r>
    </w:p>
    <w:p>
      <w:pPr>
        <w:pStyle w:val="ListBullet"/>
        <w:spacing w:after="20"/>
      </w:pPr>
      <w:r>
        <w:rPr>
          <w:sz w:val="17"/>
        </w:rPr>
        <w:t>S45 CNN PH, Viber communities as crisis hubs (Aug 2020)</w:t>
      </w:r>
    </w:p>
    <w:p>
      <w:pPr>
        <w:pStyle w:val="ListBullet"/>
        <w:spacing w:after="20"/>
      </w:pPr>
      <w:r>
        <w:rPr>
          <w:sz w:val="17"/>
        </w:rPr>
        <w:t>S46 UNICEF RapidPro — unicef.org/innovation/rapidpro; rapidpro.github.io hosting caveats</w:t>
      </w:r>
    </w:p>
    <w:p>
      <w:pPr>
        <w:pStyle w:val="ListBullet"/>
        <w:spacing w:after="20"/>
      </w:pPr>
      <w:r>
        <w:rPr>
          <w:sz w:val="17"/>
        </w:rPr>
        <w:t>S47 engageSPARK, 2-way SMS Philippines (page updated Jul 4, 2025; fetched Jul 5, 2026) — engagespark.com/support/2-way-sms-philippines/; /plans</w:t>
      </w:r>
    </w:p>
    <w:p>
      <w:pPr>
        <w:pStyle w:val="ListBullet"/>
        <w:spacing w:after="20"/>
      </w:pPr>
      <w:r>
        <w:rPr>
          <w:sz w:val="17"/>
        </w:rPr>
        <w:t>S48 PrepareCenter, Bangladesh CPP profile; BDRCS CPP</w:t>
      </w:r>
    </w:p>
    <w:p>
      <w:pPr>
        <w:pStyle w:val="ListBullet"/>
        <w:spacing w:after="20"/>
      </w:pPr>
      <w:r>
        <w:rPr>
          <w:sz w:val="17"/>
        </w:rPr>
        <w:t>S49 NDMA India, SACHET/CAP — ndma.gov.in</w:t>
      </w:r>
    </w:p>
    <w:p>
      <w:pPr>
        <w:pStyle w:val="ListBullet"/>
        <w:spacing w:after="20"/>
      </w:pPr>
      <w:r>
        <w:rPr>
          <w:sz w:val="17"/>
        </w:rPr>
        <w:t>S50 Semaphore — semaphore.co/docs and /faq (fetched directly Jul 5, 2026: outbound-only API confirmed; ₱0.56/credit; priority=2 credits; sender-ID rules; 1,000 numbers/call; 120 calls/min)</w:t>
      </w:r>
    </w:p>
    <w:p>
      <w:pPr>
        <w:pStyle w:val="ListBullet"/>
        <w:spacing w:after="20"/>
      </w:pPr>
      <w:r>
        <w:rPr>
          <w:sz w:val="17"/>
        </w:rPr>
        <w:t>S51 Twilio PH SMS guidelines &amp; pricing — twilio.com/en-us/guidelines/ph/sms; /sms/pricing/ph (sender-ID enforcement Apr 7, 2025)</w:t>
      </w:r>
    </w:p>
    <w:p>
      <w:pPr>
        <w:pStyle w:val="ListBullet"/>
        <w:spacing w:after="20"/>
      </w:pPr>
      <w:r>
        <w:rPr>
          <w:sz w:val="17"/>
        </w:rPr>
        <w:t>S52 NTC MO 005-04-2023 (link/URL/QR blocking) — region12.ntc.gov.ph PDF</w:t>
      </w:r>
    </w:p>
    <w:p>
      <w:pPr>
        <w:pStyle w:val="ListBullet"/>
        <w:spacing w:after="20"/>
      </w:pPr>
      <w:r>
        <w:rPr>
          <w:sz w:val="17"/>
        </w:rPr>
        <w:t>S53 Globe statement on NTC memo — globe.com.ph newsroom</w:t>
      </w:r>
    </w:p>
    <w:p>
      <w:pPr>
        <w:pStyle w:val="ListBullet"/>
        <w:spacing w:after="20"/>
      </w:pPr>
      <w:r>
        <w:rPr>
          <w:sz w:val="17"/>
        </w:rPr>
        <w:t>S54 RA 10639 full text — lawphil.net/statutes/repacts/ra2014/ra_10639_2014.html</w:t>
      </w:r>
    </w:p>
    <w:p>
      <w:pPr>
        <w:pStyle w:val="ListBullet"/>
        <w:spacing w:after="20"/>
      </w:pPr>
      <w:r>
        <w:rPr>
          <w:sz w:val="17"/>
        </w:rPr>
        <w:t>S55 NPC Circular 2022-04 — privacy.gov.ph (registration thresholds: 250 employees / 1,000 data subjects / high-risk)</w:t>
      </w:r>
    </w:p>
    <w:p>
      <w:pPr>
        <w:pStyle w:val="ListBullet"/>
        <w:spacing w:after="20"/>
      </w:pPr>
      <w:r>
        <w:rPr>
          <w:sz w:val="17"/>
        </w:rPr>
        <w:t>S56 capcom6/android-sms-gateway; NdoleStudio/httpsms — GitHub (self-hosted Android SMS gateways)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8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A6A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