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A9C546" w14:textId="77777777" w:rsidR="00A91DD6" w:rsidRDefault="00A91DD6" w:rsidP="00A91DD6">
      <w:pPr>
        <w:pStyle w:val="1"/>
      </w:pPr>
      <w:r>
        <w:rPr>
          <w:rFonts w:hint="eastAsia"/>
        </w:rPr>
        <w:t>先行研究１</w:t>
      </w:r>
    </w:p>
    <w:p w14:paraId="1F01D1F1" w14:textId="77777777" w:rsidR="00A91DD6" w:rsidRDefault="00A91DD6"/>
    <w:p w14:paraId="23DFD748" w14:textId="77777777" w:rsidR="00A73FA7" w:rsidRDefault="00A73FA7">
      <w:r>
        <w:rPr>
          <w:rFonts w:hint="eastAsia"/>
        </w:rPr>
        <w:t>本研究は、</w:t>
      </w:r>
      <w:r w:rsidR="00EE61D5">
        <w:rPr>
          <w:rFonts w:hint="eastAsia"/>
        </w:rPr>
        <w:t>マレーシアに上場している</w:t>
      </w:r>
      <w:r w:rsidR="00EE61D5">
        <w:rPr>
          <w:rFonts w:hint="eastAsia"/>
        </w:rPr>
        <w:t>661</w:t>
      </w:r>
      <w:r w:rsidR="00EE61D5">
        <w:rPr>
          <w:rFonts w:hint="eastAsia"/>
        </w:rPr>
        <w:t>社のデータを収集しており、</w:t>
      </w:r>
      <w:r w:rsidR="00EE61D5">
        <w:rPr>
          <w:rFonts w:hint="eastAsia"/>
        </w:rPr>
        <w:t>2012</w:t>
      </w:r>
      <w:r w:rsidR="00EE61D5">
        <w:rPr>
          <w:rFonts w:hint="eastAsia"/>
        </w:rPr>
        <w:t>年から</w:t>
      </w:r>
      <w:r w:rsidR="00EE61D5">
        <w:rPr>
          <w:rFonts w:hint="eastAsia"/>
        </w:rPr>
        <w:t>2017</w:t>
      </w:r>
      <w:r w:rsidR="00EE61D5">
        <w:rPr>
          <w:rFonts w:hint="eastAsia"/>
        </w:rPr>
        <w:t>年までの時系列データをもとに分析を行っている。本研究では、</w:t>
      </w:r>
      <w:r>
        <w:rPr>
          <w:rFonts w:hint="eastAsia"/>
        </w:rPr>
        <w:t>合計</w:t>
      </w:r>
      <w:r>
        <w:rPr>
          <w:rFonts w:hint="eastAsia"/>
        </w:rPr>
        <w:t>4</w:t>
      </w:r>
      <w:r>
        <w:rPr>
          <w:rFonts w:hint="eastAsia"/>
        </w:rPr>
        <w:t>つのモデルで実証分析を行っているが、ここでは環境スコアに着目した</w:t>
      </w:r>
      <w:r>
        <w:rPr>
          <w:rFonts w:hint="eastAsia"/>
        </w:rPr>
        <w:t>2</w:t>
      </w:r>
      <w:r>
        <w:rPr>
          <w:rFonts w:hint="eastAsia"/>
        </w:rPr>
        <w:t>つのモデルを紹介する。</w:t>
      </w:r>
      <w:r w:rsidR="00263543">
        <w:rPr>
          <w:rFonts w:hint="eastAsia"/>
        </w:rPr>
        <w:t>ここでは、財務パフォーマンスを</w:t>
      </w:r>
      <w:r>
        <w:rPr>
          <w:rFonts w:hint="eastAsia"/>
        </w:rPr>
        <w:t>トービンの</w:t>
      </w:r>
      <w:r>
        <w:t>Q</w:t>
      </w:r>
      <w:r w:rsidR="00263543">
        <w:rPr>
          <w:rFonts w:hint="eastAsia"/>
        </w:rPr>
        <w:t>を採用しており、非説明</w:t>
      </w:r>
      <w:r>
        <w:rPr>
          <w:rFonts w:hint="eastAsia"/>
        </w:rPr>
        <w:t>においており、</w:t>
      </w:r>
      <w:r>
        <w:t>ESGIND</w:t>
      </w:r>
      <w:r>
        <w:rPr>
          <w:rFonts w:hint="eastAsia"/>
        </w:rPr>
        <w:t>は</w:t>
      </w:r>
      <w:r>
        <w:t>Bloomberg</w:t>
      </w:r>
      <w:r>
        <w:rPr>
          <w:rFonts w:hint="eastAsia"/>
        </w:rPr>
        <w:t>の環境スコア、</w:t>
      </w:r>
      <w:r>
        <w:t>COMADVANTAGE</w:t>
      </w:r>
      <w:r>
        <w:rPr>
          <w:rFonts w:hint="eastAsia"/>
        </w:rPr>
        <w:t>は株式リターンから</w:t>
      </w:r>
      <w:r>
        <w:t>WACC</w:t>
      </w:r>
      <w:r>
        <w:rPr>
          <w:rFonts w:hint="eastAsia"/>
        </w:rPr>
        <w:t>を引いた変数、コントロール変数として、独立社外取締役の占率や、時価総額、収益率等の変数を使用している。</w:t>
      </w:r>
      <m:oMath>
        <m:r>
          <w:rPr>
            <w:rFonts w:ascii="Cambria Math" w:hAnsi="Cambria Math"/>
          </w:rPr>
          <m:t>ESGIND*COMADVANTAGE</m:t>
        </m:r>
      </m:oMath>
      <w:r w:rsidR="00263543">
        <w:t xml:space="preserve"> </w:t>
      </w:r>
      <w:r w:rsidR="00263543">
        <w:rPr>
          <w:rFonts w:hint="eastAsia"/>
        </w:rPr>
        <w:t>は</w:t>
      </w:r>
      <w:r w:rsidR="00263543">
        <w:t>ESGIND</w:t>
      </w:r>
      <w:r w:rsidR="00263543">
        <w:rPr>
          <w:rFonts w:hint="eastAsia"/>
        </w:rPr>
        <w:t>と</w:t>
      </w:r>
      <w:r w:rsidR="00263543">
        <w:t>COMADVANTAGE</w:t>
      </w:r>
      <w:r w:rsidR="00263543">
        <w:rPr>
          <w:rFonts w:hint="eastAsia"/>
        </w:rPr>
        <w:t>の交差項を示している。</w:t>
      </w:r>
      <w:r w:rsidR="00EE61D5">
        <w:rPr>
          <w:rFonts w:hint="eastAsia"/>
        </w:rPr>
        <w:t>なお、</w:t>
      </w:r>
      <m:oMath>
        <m:r>
          <w:rPr>
            <w:rFonts w:ascii="Cambria Math" w:hAnsi="Cambria Math"/>
          </w:rPr>
          <m:t>i</m:t>
        </m:r>
      </m:oMath>
      <w:r w:rsidR="00EE61D5">
        <w:rPr>
          <w:rFonts w:hint="eastAsia"/>
        </w:rPr>
        <w:t>は企業、</w:t>
      </w:r>
      <m:oMath>
        <m:r>
          <w:rPr>
            <w:rFonts w:ascii="Cambria Math" w:hAnsi="Cambria Math"/>
          </w:rPr>
          <m:t>t</m:t>
        </m:r>
      </m:oMath>
      <w:r w:rsidR="00EE61D5">
        <w:rPr>
          <w:rFonts w:hint="eastAsia"/>
        </w:rPr>
        <w:t>は年、</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rsidR="00EE61D5">
        <w:rPr>
          <w:rFonts w:hint="eastAsia"/>
        </w:rPr>
        <w:t>は企業の固定効果、</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EE61D5">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EE61D5">
        <w:rPr>
          <w:rFonts w:hint="eastAsia"/>
        </w:rPr>
        <w:t>は誤差項を表している。</w:t>
      </w:r>
    </w:p>
    <w:p w14:paraId="5D5298A1" w14:textId="77777777" w:rsidR="00EE61D5" w:rsidRDefault="00EE61D5"/>
    <w:p w14:paraId="44B65086" w14:textId="77777777" w:rsidR="00EE61D5" w:rsidRDefault="00EE61D5"/>
    <w:p w14:paraId="213BFE12" w14:textId="77777777" w:rsidR="00201017" w:rsidRDefault="00A73FA7">
      <w:r>
        <w:t>Model1(Without Interaction</w:t>
      </w:r>
      <w:r w:rsidR="00201017">
        <w:t xml:space="preserve"> Effect)</w:t>
      </w:r>
    </w:p>
    <w:p w14:paraId="158EC6C4" w14:textId="77777777" w:rsidR="00A1731B" w:rsidRPr="00201017" w:rsidRDefault="00E723FB">
      <m:oMathPara>
        <m:oMath>
          <m:sSub>
            <m:sSubPr>
              <m:ctrlPr>
                <w:rPr>
                  <w:rFonts w:ascii="Cambria Math" w:hAnsi="Cambria Math"/>
                  <w:i/>
                </w:rPr>
              </m:ctrlPr>
            </m:sSubPr>
            <m:e>
              <m:r>
                <w:rPr>
                  <w:rFonts w:ascii="Cambria Math" w:hAnsi="Cambria Math"/>
                </w:rPr>
                <m:t>TOBIN</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ESGIND</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2</m:t>
              </m:r>
            </m:sub>
          </m:sSub>
          <m:sSub>
            <m:sSubPr>
              <m:ctrlPr>
                <w:rPr>
                  <w:rFonts w:ascii="Cambria Math" w:hAnsi="Cambria Math"/>
                  <w:i/>
                </w:rPr>
              </m:ctrlPr>
            </m:sSubPr>
            <m:e>
              <m:r>
                <w:rPr>
                  <w:rFonts w:ascii="Cambria Math" w:hAnsi="Cambria Math"/>
                </w:rPr>
                <m:t>COMADVANTAGE</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y</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216C18F5" w14:textId="77777777" w:rsidR="00201017" w:rsidRDefault="00201017"/>
    <w:p w14:paraId="4B063AFB" w14:textId="77777777" w:rsidR="00A73FA7" w:rsidRDefault="00A73FA7" w:rsidP="00A73FA7">
      <w:r>
        <w:t>Model2(With Interaction Effect)</w:t>
      </w:r>
    </w:p>
    <w:p w14:paraId="49119011" w14:textId="77777777" w:rsidR="00A73FA7" w:rsidRPr="00201017" w:rsidRDefault="00E723FB" w:rsidP="00A73FA7">
      <m:oMathPara>
        <m:oMath>
          <m:sSub>
            <m:sSubPr>
              <m:ctrlPr>
                <w:rPr>
                  <w:rFonts w:ascii="Cambria Math" w:hAnsi="Cambria Math"/>
                  <w:i/>
                </w:rPr>
              </m:ctrlPr>
            </m:sSubPr>
            <m:e>
              <m:r>
                <w:rPr>
                  <w:rFonts w:ascii="Cambria Math" w:hAnsi="Cambria Math"/>
                </w:rPr>
                <m:t>TOBIN</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ESGIND</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δ</m:t>
              </m:r>
            </m:e>
            <m:sub>
              <m:r>
                <w:rPr>
                  <w:rFonts w:ascii="Cambria Math" w:hAnsi="Cambria Math"/>
                </w:rPr>
                <m:t>2</m:t>
              </m:r>
            </m:sub>
          </m:sSub>
          <m:sSub>
            <m:sSubPr>
              <m:ctrlPr>
                <w:rPr>
                  <w:rFonts w:ascii="Cambria Math" w:hAnsi="Cambria Math"/>
                  <w:i/>
                </w:rPr>
              </m:ctrlPr>
            </m:sSubPr>
            <m:e>
              <m:r>
                <w:rPr>
                  <w:rFonts w:ascii="Cambria Math" w:hAnsi="Cambria Math"/>
                </w:rPr>
                <m:t>COMADVANTAGE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3</m:t>
              </m:r>
            </m:sub>
          </m:sSub>
          <m:sSub>
            <m:sSubPr>
              <m:ctrlPr>
                <w:rPr>
                  <w:rFonts w:ascii="Cambria Math" w:hAnsi="Cambria Math"/>
                  <w:i/>
                </w:rPr>
              </m:ctrlPr>
            </m:sSubPr>
            <m:e>
              <m:r>
                <w:rPr>
                  <w:rFonts w:ascii="Cambria Math" w:hAnsi="Cambria Math"/>
                </w:rPr>
                <m:t>ESGIND*COMADVANTAGE</m:t>
              </m:r>
            </m:e>
            <m:sub>
              <m:r>
                <w:rPr>
                  <w:rFonts w:ascii="Cambria Math" w:hAnsi="Cambria Math"/>
                </w:rPr>
                <m:t>it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y</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1D0B0B2" w14:textId="77777777" w:rsidR="004A4D98" w:rsidRDefault="004A4D98" w:rsidP="004A4D98">
      <w:pPr>
        <w:jc w:val="center"/>
      </w:pPr>
    </w:p>
    <w:p w14:paraId="7E17724E" w14:textId="77777777" w:rsidR="00201017" w:rsidRDefault="00A91DD6" w:rsidP="00A91DD6">
      <w:pPr>
        <w:pStyle w:val="a6"/>
        <w:jc w:val="cente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1</w:t>
      </w:r>
      <w:r>
        <w:fldChar w:fldCharType="end"/>
      </w:r>
      <w:r w:rsidR="00263543">
        <w:rPr>
          <w:rFonts w:hint="eastAsia"/>
        </w:rPr>
        <w:t>環境スコアと</w:t>
      </w:r>
      <w:r w:rsidR="004A4D98">
        <w:rPr>
          <w:rFonts w:hint="eastAsia"/>
        </w:rPr>
        <w:t>財務パフォーマンスの重回帰分析の結果</w:t>
      </w:r>
    </w:p>
    <w:p w14:paraId="36EC04DC" w14:textId="6AF87FC3" w:rsidR="00F61E97" w:rsidRPr="00F61E97" w:rsidRDefault="00F61E97" w:rsidP="00F61E97">
      <w:pPr>
        <w:jc w:val="center"/>
      </w:pPr>
      <w:r>
        <w:t>(</w:t>
      </w:r>
      <w:r>
        <w:rPr>
          <w:rFonts w:hint="eastAsia"/>
        </w:rPr>
        <w:t>より抜粋</w:t>
      </w:r>
      <w:r>
        <w:t>)</w:t>
      </w:r>
    </w:p>
    <w:p w14:paraId="64890BC7" w14:textId="77777777" w:rsidR="00263543" w:rsidRDefault="00263543" w:rsidP="00A73FA7">
      <w:r>
        <w:rPr>
          <w:rFonts w:hint="eastAsia"/>
          <w:noProof/>
        </w:rPr>
        <w:lastRenderedPageBreak/>
        <w:drawing>
          <wp:inline distT="0" distB="0" distL="0" distR="0" wp14:anchorId="1427AC49" wp14:editId="510923D1">
            <wp:extent cx="5388610" cy="1915795"/>
            <wp:effectExtent l="0" t="0" r="0" b="0"/>
            <wp:docPr id="1" name="図 1" descr="Macintosh HD:private:var:folders:k6:z0mp51ns11n70wmjtlbhj81h0000gn:T:TemporaryItems:スクリーンショット 2022-09-11 11.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k6:z0mp51ns11n70wmjtlbhj81h0000gn:T:TemporaryItems:スクリーンショット 2022-09-11 11.18.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8610" cy="1915795"/>
                    </a:xfrm>
                    <a:prstGeom prst="rect">
                      <a:avLst/>
                    </a:prstGeom>
                    <a:noFill/>
                    <a:ln>
                      <a:noFill/>
                    </a:ln>
                  </pic:spPr>
                </pic:pic>
              </a:graphicData>
            </a:graphic>
          </wp:inline>
        </w:drawing>
      </w:r>
    </w:p>
    <w:p w14:paraId="7895AB6E" w14:textId="77777777" w:rsidR="00A91DD6" w:rsidRDefault="00A91DD6" w:rsidP="00A73FA7"/>
    <w:p w14:paraId="7493E582" w14:textId="28A3FA46" w:rsidR="00FF5852" w:rsidRDefault="00FF5852" w:rsidP="00FF5852">
      <w:pPr>
        <w:pStyle w:val="a6"/>
        <w:jc w:val="cente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2</w:t>
      </w:r>
      <w:r>
        <w:fldChar w:fldCharType="end"/>
      </w:r>
      <w:r>
        <w:t>ESG</w:t>
      </w:r>
      <w:r>
        <w:rPr>
          <w:rFonts w:hint="eastAsia"/>
        </w:rPr>
        <w:t>スコアと財務パフォーマンスにおける重回帰分析の結果</w:t>
      </w:r>
    </w:p>
    <w:p w14:paraId="5A9B2F29" w14:textId="0C7306C3" w:rsidR="00F61E97" w:rsidRPr="00F61E97" w:rsidRDefault="00F61E97" w:rsidP="00F61E97">
      <w:pPr>
        <w:jc w:val="center"/>
      </w:pPr>
      <w:r>
        <w:t>(</w:t>
      </w:r>
      <w:r>
        <w:rPr>
          <w:rFonts w:hint="eastAsia"/>
        </w:rPr>
        <w:t>より抜粋</w:t>
      </w:r>
      <w:r>
        <w:t>)</w:t>
      </w:r>
    </w:p>
    <w:p w14:paraId="20DE8882" w14:textId="3AC3E0E9" w:rsidR="00A91DD6" w:rsidRDefault="00FF5852" w:rsidP="00A73FA7">
      <w:r>
        <w:rPr>
          <w:rFonts w:hint="eastAsia"/>
          <w:noProof/>
        </w:rPr>
        <w:drawing>
          <wp:inline distT="0" distB="0" distL="0" distR="0" wp14:anchorId="5F4A7F96" wp14:editId="4B38CA30">
            <wp:extent cx="5388610" cy="1904728"/>
            <wp:effectExtent l="0" t="0" r="0" b="635"/>
            <wp:docPr id="2" name="図 2" descr="Macintosh HD:private:var:folders:k6:z0mp51ns11n70wmjtlbhj81h0000gn:T:TemporaryItems:スクリーンショット 2022-09-11 14.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k6:z0mp51ns11n70wmjtlbhj81h0000gn:T:TemporaryItems:スクリーンショット 2022-09-11 14.11.13.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
                    <a:stretch/>
                  </pic:blipFill>
                  <pic:spPr bwMode="auto">
                    <a:xfrm>
                      <a:off x="0" y="0"/>
                      <a:ext cx="5388610" cy="1904728"/>
                    </a:xfrm>
                    <a:prstGeom prst="rect">
                      <a:avLst/>
                    </a:prstGeom>
                    <a:noFill/>
                    <a:ln>
                      <a:noFill/>
                    </a:ln>
                    <a:extLst>
                      <a:ext uri="{53640926-AAD7-44d8-BBD7-CCE9431645EC}">
                        <a14:shadowObscured xmlns:a14="http://schemas.microsoft.com/office/drawing/2010/main"/>
                      </a:ext>
                    </a:extLst>
                  </pic:spPr>
                </pic:pic>
              </a:graphicData>
            </a:graphic>
          </wp:inline>
        </w:drawing>
      </w:r>
    </w:p>
    <w:p w14:paraId="0871C35C" w14:textId="77777777" w:rsidR="00FF5852" w:rsidRDefault="00FF5852" w:rsidP="00A73FA7"/>
    <w:p w14:paraId="0F6051A7" w14:textId="24BD29BB" w:rsidR="00FF5852" w:rsidRDefault="00FF5852" w:rsidP="00A73FA7">
      <w:r>
        <w:rPr>
          <w:rFonts w:hint="eastAsia"/>
        </w:rPr>
        <w:t>上表は、</w:t>
      </w:r>
      <w:r w:rsidR="00D56EBF">
        <w:rPr>
          <w:rFonts w:hint="eastAsia"/>
        </w:rPr>
        <w:t>各モデルにおいて、</w:t>
      </w:r>
      <w:r w:rsidR="00D56EBF">
        <w:t>ESG</w:t>
      </w:r>
      <w:r w:rsidR="00D56EBF">
        <w:rPr>
          <w:rFonts w:hint="eastAsia"/>
        </w:rPr>
        <w:t>に関する変数は財務パフォーマンスに有意な正の影響を与えることが分かった。</w:t>
      </w:r>
      <w:r w:rsidR="00D56EBF">
        <w:rPr>
          <w:rFonts w:hint="eastAsia"/>
        </w:rPr>
        <w:t>ESG</w:t>
      </w:r>
      <w:r w:rsidR="00D56EBF">
        <w:rPr>
          <w:rFonts w:hint="eastAsia"/>
        </w:rPr>
        <w:t>開示とトービンの</w:t>
      </w:r>
      <w:r w:rsidR="00D56EBF">
        <w:rPr>
          <w:rFonts w:hint="eastAsia"/>
        </w:rPr>
        <w:t>q</w:t>
      </w:r>
      <w:r w:rsidR="00D56EBF">
        <w:rPr>
          <w:rFonts w:hint="eastAsia"/>
        </w:rPr>
        <w:t>の間の回帰分析で約</w:t>
      </w:r>
      <w:r w:rsidR="00D56EBF">
        <w:rPr>
          <w:rFonts w:hint="eastAsia"/>
        </w:rPr>
        <w:t>60</w:t>
      </w:r>
      <w:r w:rsidR="00D56EBF">
        <w:rPr>
          <w:rFonts w:hint="eastAsia"/>
        </w:rPr>
        <w:t>％の</w:t>
      </w:r>
      <w:r w:rsidR="00D56EBF">
        <w:rPr>
          <w:rFonts w:hint="eastAsia"/>
        </w:rPr>
        <w:t>R2</w:t>
      </w:r>
      <w:r w:rsidR="00D56EBF">
        <w:rPr>
          <w:rFonts w:hint="eastAsia"/>
        </w:rPr>
        <w:t>値を見出した他の先行研究と一致しているという。したがって、本分析によって、</w:t>
      </w:r>
      <w:r w:rsidR="00D56EBF">
        <w:rPr>
          <w:rFonts w:hint="eastAsia"/>
        </w:rPr>
        <w:t>ESG</w:t>
      </w:r>
      <w:r w:rsidR="00D56EBF">
        <w:rPr>
          <w:rFonts w:hint="eastAsia"/>
        </w:rPr>
        <w:t>開示がステークホルダーの信頼、ひいては企業の価値を改善し、これは企業の競争優位性が高い場合に顕著になるという主張を支持したものとなった。</w:t>
      </w:r>
    </w:p>
    <w:p w14:paraId="5840AEDA" w14:textId="77777777" w:rsidR="00ED4AFC" w:rsidRDefault="00ED4AFC" w:rsidP="00A73FA7"/>
    <w:p w14:paraId="4480C84C" w14:textId="77777777" w:rsidR="00ED4AFC" w:rsidRDefault="00ED4AFC" w:rsidP="00A73FA7"/>
    <w:p w14:paraId="1B90E30E" w14:textId="77777777" w:rsidR="00ED4AFC" w:rsidRDefault="00ED4AFC" w:rsidP="00A73FA7"/>
    <w:p w14:paraId="2C226038" w14:textId="3DD2169E" w:rsidR="00ED4AFC" w:rsidRDefault="00ED4AFC" w:rsidP="00ED4AFC">
      <w:pPr>
        <w:pStyle w:val="1"/>
      </w:pPr>
      <w:r>
        <w:rPr>
          <w:rFonts w:hint="eastAsia"/>
        </w:rPr>
        <w:t>先行研究</w:t>
      </w:r>
      <w:r>
        <w:t>2</w:t>
      </w:r>
    </w:p>
    <w:p w14:paraId="3FBA6FCF" w14:textId="77777777" w:rsidR="00ED4AFC" w:rsidRDefault="00ED4AFC" w:rsidP="00ED4AFC"/>
    <w:p w14:paraId="7B1998A4" w14:textId="0FF922E7" w:rsidR="008C59CB" w:rsidRDefault="008C59CB" w:rsidP="00ED4AFC">
      <w:r>
        <w:rPr>
          <w:rFonts w:hint="eastAsia"/>
        </w:rPr>
        <w:t>本研究では、トムソン・ロイターの</w:t>
      </w:r>
      <w:r>
        <w:t>ESG</w:t>
      </w:r>
      <w:r>
        <w:rPr>
          <w:rFonts w:hint="eastAsia"/>
        </w:rPr>
        <w:t>スコアを用いている。また、</w:t>
      </w:r>
      <w:r w:rsidRPr="008C59CB">
        <w:rPr>
          <w:rFonts w:hint="eastAsia"/>
        </w:rPr>
        <w:t>ウォートン・リサーチ・データ・サービス（</w:t>
      </w:r>
      <w:r w:rsidRPr="008C59CB">
        <w:rPr>
          <w:rFonts w:hint="eastAsia"/>
        </w:rPr>
        <w:t>WRDS</w:t>
      </w:r>
      <w:r w:rsidRPr="008C59CB">
        <w:rPr>
          <w:rFonts w:hint="eastAsia"/>
        </w:rPr>
        <w:t>）</w:t>
      </w:r>
      <w:r>
        <w:rPr>
          <w:rFonts w:hint="eastAsia"/>
        </w:rPr>
        <w:t>を使って、売上高、利益、総資産、短期・長期借入金等、</w:t>
      </w:r>
      <w:r w:rsidRPr="008C59CB">
        <w:rPr>
          <w:rFonts w:hint="eastAsia"/>
        </w:rPr>
        <w:t>上場企業の基本的な</w:t>
      </w:r>
      <w:r>
        <w:rPr>
          <w:rFonts w:hint="eastAsia"/>
        </w:rPr>
        <w:t>企業情報を収集し</w:t>
      </w:r>
      <w:r w:rsidRPr="008C59CB">
        <w:rPr>
          <w:rFonts w:hint="eastAsia"/>
        </w:rPr>
        <w:t>た</w:t>
      </w:r>
      <w:r>
        <w:rPr>
          <w:rFonts w:hint="eastAsia"/>
        </w:rPr>
        <w:t>。そして、</w:t>
      </w:r>
      <w:r w:rsidRPr="008C59CB">
        <w:rPr>
          <w:rFonts w:hint="eastAsia"/>
        </w:rPr>
        <w:t>2016</w:t>
      </w:r>
      <w:r w:rsidRPr="008C59CB">
        <w:rPr>
          <w:rFonts w:hint="eastAsia"/>
        </w:rPr>
        <w:t>年から</w:t>
      </w:r>
      <w:r w:rsidRPr="008C59CB">
        <w:rPr>
          <w:rFonts w:hint="eastAsia"/>
        </w:rPr>
        <w:t>2020</w:t>
      </w:r>
      <w:r w:rsidRPr="008C59CB">
        <w:rPr>
          <w:rFonts w:hint="eastAsia"/>
        </w:rPr>
        <w:t>年までの</w:t>
      </w:r>
      <w:r w:rsidRPr="008C59CB">
        <w:rPr>
          <w:rFonts w:hint="eastAsia"/>
        </w:rPr>
        <w:t>47</w:t>
      </w:r>
      <w:r w:rsidRPr="008C59CB">
        <w:rPr>
          <w:rFonts w:hint="eastAsia"/>
        </w:rPr>
        <w:t>カ国・地域の</w:t>
      </w:r>
      <w:r w:rsidRPr="008C59CB">
        <w:rPr>
          <w:rFonts w:hint="eastAsia"/>
        </w:rPr>
        <w:t>215,110</w:t>
      </w:r>
      <w:r>
        <w:rPr>
          <w:rFonts w:hint="eastAsia"/>
        </w:rPr>
        <w:t>件の観測データからパネルデータを構築した。</w:t>
      </w:r>
    </w:p>
    <w:p w14:paraId="69FAB437" w14:textId="5CCC4287" w:rsidR="008C59CB" w:rsidRDefault="008C59CB" w:rsidP="00ED4AFC">
      <w:r>
        <w:rPr>
          <w:rFonts w:hint="eastAsia"/>
        </w:rPr>
        <w:t xml:space="preserve">　重回帰モデルは以下の回帰式となっている。企業業績の変数</w:t>
      </w:r>
      <w:r w:rsidRPr="008C59CB">
        <w:rPr>
          <w:rFonts w:hint="eastAsia"/>
        </w:rPr>
        <w:t>には、</w:t>
      </w:r>
      <w:r>
        <w:rPr>
          <w:rFonts w:hint="eastAsia"/>
        </w:rPr>
        <w:t>ROA</w:t>
      </w:r>
      <w:r w:rsidRPr="008C59CB">
        <w:rPr>
          <w:rFonts w:hint="eastAsia"/>
        </w:rPr>
        <w:t>と</w:t>
      </w:r>
      <w:r>
        <w:rPr>
          <w:rFonts w:hint="eastAsia"/>
        </w:rPr>
        <w:t>ROS</w:t>
      </w:r>
      <w:r>
        <w:rPr>
          <w:rFonts w:hint="eastAsia"/>
        </w:rPr>
        <w:t>を採用している</w:t>
      </w:r>
      <w:r w:rsidR="00886FDC">
        <w:rPr>
          <w:rFonts w:hint="eastAsia"/>
        </w:rPr>
        <w:t>。</w:t>
      </w:r>
      <m:oMath>
        <m:r>
          <w:rPr>
            <w:rFonts w:ascii="Cambria Math" w:hAnsi="Cambria Math"/>
          </w:rPr>
          <m:t>ESG performance</m:t>
        </m:r>
      </m:oMath>
      <w:r w:rsidR="00886FDC">
        <w:rPr>
          <w:rFonts w:hint="eastAsia"/>
        </w:rPr>
        <w:t>が</w:t>
      </w:r>
      <w:r w:rsidR="00886FDC">
        <w:t>ESG</w:t>
      </w:r>
      <w:r w:rsidR="00886FDC">
        <w:rPr>
          <w:rFonts w:hint="eastAsia"/>
        </w:rPr>
        <w:t>スコアになっており、</w:t>
      </w:r>
      <m:oMath>
        <m:sSub>
          <m:sSubPr>
            <m:ctrlPr>
              <w:rPr>
                <w:rFonts w:ascii="Cambria Math" w:hAnsi="Cambria Math"/>
                <w:i/>
              </w:rPr>
            </m:ctrlPr>
          </m:sSubPr>
          <m:e>
            <m:r>
              <w:rPr>
                <w:rFonts w:ascii="Cambria Math" w:hAnsi="Cambria Math"/>
              </w:rPr>
              <m:t>X</m:t>
            </m:r>
          </m:e>
          <m:sub>
            <m:r>
              <w:rPr>
                <w:rFonts w:ascii="Cambria Math" w:hAnsi="Cambria Math"/>
              </w:rPr>
              <m:t>i,j,t</m:t>
            </m:r>
          </m:sub>
        </m:sSub>
      </m:oMath>
      <w:r w:rsidR="00886FDC">
        <w:rPr>
          <w:rFonts w:hint="eastAsia"/>
        </w:rPr>
        <w:t>が企業の業績等のコントロール変数になっている。なお、</w:t>
      </w:r>
      <m:oMath>
        <m:r>
          <w:rPr>
            <w:rFonts w:ascii="Cambria Math" w:hAnsi="Cambria Math"/>
          </w:rPr>
          <m:t>i</m:t>
        </m:r>
      </m:oMath>
      <w:r w:rsidR="00886FDC">
        <w:rPr>
          <w:rFonts w:hint="eastAsia"/>
        </w:rPr>
        <w:t>は企業、</w:t>
      </w:r>
      <m:oMath>
        <m:r>
          <w:rPr>
            <w:rFonts w:ascii="Cambria Math" w:hAnsi="Cambria Math"/>
          </w:rPr>
          <m:t>j</m:t>
        </m:r>
      </m:oMath>
      <w:r w:rsidR="00886FDC">
        <w:rPr>
          <w:rFonts w:hint="eastAsia"/>
        </w:rPr>
        <w:t>がセクター、</w:t>
      </w:r>
      <m:oMath>
        <m:r>
          <w:rPr>
            <w:rFonts w:ascii="Cambria Math" w:hAnsi="Cambria Math"/>
          </w:rPr>
          <m:t>t</m:t>
        </m:r>
      </m:oMath>
      <w:r w:rsidR="00886FDC">
        <w:rPr>
          <w:rFonts w:hint="eastAsia"/>
        </w:rPr>
        <w:t>は年、</w:t>
      </w:r>
      <m:oMath>
        <m:sSub>
          <m:sSubPr>
            <m:ctrlPr>
              <w:rPr>
                <w:rFonts w:ascii="Cambria Math" w:hAnsi="Cambria Math"/>
                <w:i/>
              </w:rPr>
            </m:ctrlPr>
          </m:sSubPr>
          <m:e>
            <m:r>
              <w:rPr>
                <w:rFonts w:ascii="Cambria Math" w:hAnsi="Cambria Math"/>
              </w:rPr>
              <m:t>µ</m:t>
            </m:r>
          </m:e>
          <m:sub>
            <m:r>
              <w:rPr>
                <w:rFonts w:ascii="Cambria Math" w:hAnsi="Cambria Math"/>
              </w:rPr>
              <m:t>i</m:t>
            </m:r>
          </m:sub>
        </m:sSub>
      </m:oMath>
      <w:r w:rsidR="00886FDC">
        <w:rPr>
          <w:rFonts w:hint="eastAsia"/>
        </w:rPr>
        <w:t>は企業の固定効果、</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00886FDC">
        <w:rPr>
          <w:rFonts w:hint="eastAsia"/>
        </w:rPr>
        <w:t>はセクターの固定効果、</w:t>
      </w:r>
      <m:oMath>
        <m:sSub>
          <m:sSubPr>
            <m:ctrlPr>
              <w:rPr>
                <w:rFonts w:ascii="Cambria Math" w:hAnsi="Cambria Math"/>
                <w:i/>
              </w:rPr>
            </m:ctrlPr>
          </m:sSubPr>
          <m:e>
            <m:r>
              <w:rPr>
                <w:rFonts w:ascii="Cambria Math" w:hAnsi="Cambria Math"/>
              </w:rPr>
              <m:t>ϕ</m:t>
            </m:r>
          </m:e>
          <m:sub>
            <m:r>
              <w:rPr>
                <w:rFonts w:ascii="Cambria Math" w:hAnsi="Cambria Math"/>
              </w:rPr>
              <m:t>t</m:t>
            </m:r>
          </m:sub>
        </m:sSub>
      </m:oMath>
      <w:r w:rsidR="00886FDC">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886FDC">
        <w:rPr>
          <w:rFonts w:hint="eastAsia"/>
        </w:rPr>
        <w:t>は誤差項を表している。</w:t>
      </w:r>
    </w:p>
    <w:p w14:paraId="49A8E4E9" w14:textId="77777777" w:rsidR="00ED4AFC" w:rsidRDefault="00ED4AFC" w:rsidP="00ED4AFC"/>
    <w:p w14:paraId="23211D92" w14:textId="05723A98" w:rsidR="00886FDC" w:rsidRDefault="00886FDC" w:rsidP="00ED4AFC">
      <w:r>
        <w:t>Model1</w:t>
      </w:r>
    </w:p>
    <w:p w14:paraId="6F62A4FE" w14:textId="68E421DA" w:rsidR="00ED4AFC" w:rsidRPr="00E843A0" w:rsidRDefault="00E723FB" w:rsidP="00ED4AFC">
      <m:oMathPara>
        <m:oMath>
          <m:sSub>
            <m:sSubPr>
              <m:ctrlPr>
                <w:rPr>
                  <w:rFonts w:ascii="Cambria Math" w:hAnsi="Cambria Math"/>
                  <w:i/>
                </w:rPr>
              </m:ctrlPr>
            </m:sSubPr>
            <m:e>
              <m:r>
                <w:rPr>
                  <w:rFonts w:ascii="Cambria Math" w:hAnsi="Cambria Math"/>
                </w:rPr>
                <m:t>ROA/ROS</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ROA/ROS</m:t>
              </m:r>
            </m:e>
            <m:sub>
              <m:r>
                <w:rPr>
                  <w:rFonts w:ascii="Cambria Math" w:hAnsi="Cambria Math"/>
                </w:rPr>
                <m:t>i,j,t-1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ESG performance</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 xml:space="preserve"> +</m:t>
          </m:r>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i,j,t</m:t>
              </m:r>
            </m:sub>
          </m:sSub>
        </m:oMath>
      </m:oMathPara>
    </w:p>
    <w:p w14:paraId="012F9723" w14:textId="77777777" w:rsidR="00E843A0" w:rsidRDefault="00E843A0" w:rsidP="00ED4AFC"/>
    <w:p w14:paraId="0A3E88E0" w14:textId="0E403E32" w:rsidR="00886FDC" w:rsidRDefault="00886FDC" w:rsidP="00ED4AFC">
      <w:r>
        <w:t>Model2</w:t>
      </w:r>
    </w:p>
    <w:p w14:paraId="26891855" w14:textId="29159E78" w:rsidR="00663B31" w:rsidRPr="00E843A0" w:rsidRDefault="00E723FB" w:rsidP="00663B31">
      <m:oMathPara>
        <m:oMath>
          <m:sSub>
            <m:sSubPr>
              <m:ctrlPr>
                <w:rPr>
                  <w:rFonts w:ascii="Cambria Math" w:hAnsi="Cambria Math"/>
                  <w:i/>
                </w:rPr>
              </m:ctrlPr>
            </m:sSubPr>
            <m:e>
              <m:r>
                <w:rPr>
                  <w:rFonts w:ascii="Cambria Math" w:hAnsi="Cambria Math"/>
                </w:rPr>
                <m:t>ROA/ROS</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ROA/ROS</m:t>
              </m:r>
            </m:e>
            <m:sub>
              <m:r>
                <w:rPr>
                  <w:rFonts w:ascii="Cambria Math" w:hAnsi="Cambria Math"/>
                </w:rPr>
                <m:t>i,j,t-1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ESG performance</m:t>
              </m:r>
            </m:e>
            <m:sub>
              <m:r>
                <w:rPr>
                  <w:rFonts w:ascii="Cambria Math" w:hAnsi="Cambria Math"/>
                </w:rPr>
                <m:t>i,j,t</m:t>
              </m:r>
            </m:sub>
          </m:sSub>
          <m:r>
            <m:rPr>
              <m:brk/>
              <m:aln/>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Financial intermediation</m:t>
              </m:r>
            </m:e>
            <m:sub>
              <m:r>
                <w:rPr>
                  <w:rFonts w:ascii="Cambria Math" w:hAnsi="Cambria Math"/>
                </w:rPr>
                <m:t>i,j,t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ESG performance × Financial intermediation</m:t>
              </m:r>
            </m:e>
            <m:sub>
              <m:r>
                <w:rPr>
                  <w:rFonts w:ascii="Cambria Math" w:hAnsi="Cambria Math"/>
                </w:rPr>
                <m:t>i,j,t</m:t>
              </m:r>
            </m:sub>
          </m:sSub>
          <m:r>
            <m:rPr>
              <m:brk/>
            </m:rPr>
            <w:rPr>
              <w:rFonts w:ascii="Cambria Math" w:hAnsi="Cambria Math"/>
            </w:rPr>
            <m:t>+</m:t>
          </m:r>
          <m:sSub>
            <m:sSubPr>
              <m:ctrlPr>
                <w:rPr>
                  <w:rFonts w:ascii="Cambria Math" w:hAnsi="Cambria Math"/>
                  <w:i/>
                </w:rPr>
              </m:ctrlPr>
            </m:sSubPr>
            <m:e>
              <m:r>
                <w:rPr>
                  <w:rFonts w:ascii="Cambria Math" w:hAnsi="Cambria Math"/>
                </w:rPr>
                <m:t>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i,j,t</m:t>
              </m:r>
            </m:sub>
          </m:sSub>
        </m:oMath>
      </m:oMathPara>
    </w:p>
    <w:p w14:paraId="54ED5C02" w14:textId="5E0DCF26" w:rsidR="00E843A0" w:rsidRDefault="00E843A0" w:rsidP="00663B31"/>
    <w:p w14:paraId="4FF80BC2" w14:textId="26096938" w:rsidR="00886FDC" w:rsidRDefault="00886FDC" w:rsidP="00663B31">
      <w:pPr>
        <w:rPr>
          <w:rFonts w:hint="eastAsia"/>
        </w:rPr>
      </w:pPr>
      <w:r w:rsidRPr="00886FDC">
        <w:rPr>
          <w:rFonts w:hint="eastAsia"/>
        </w:rPr>
        <w:t>ここで、</w:t>
      </w:r>
      <m:oMath>
        <m:sSub>
          <m:sSubPr>
            <m:ctrlPr>
              <w:rPr>
                <w:rFonts w:ascii="Cambria Math" w:hAnsi="Cambria Math"/>
                <w:i/>
              </w:rPr>
            </m:ctrlPr>
          </m:sSubPr>
          <m:e>
            <m:r>
              <w:rPr>
                <w:rFonts w:ascii="Cambria Math" w:hAnsi="Cambria Math"/>
              </w:rPr>
              <m:t>β</m:t>
            </m:r>
          </m:e>
          <m:sub>
            <m:r>
              <w:rPr>
                <w:rFonts w:ascii="Cambria Math" w:hAnsi="Cambria Math"/>
              </w:rPr>
              <m:t>4</m:t>
            </m:r>
          </m:sub>
        </m:sSub>
      </m:oMath>
      <w:r w:rsidRPr="00886FDC">
        <w:rPr>
          <w:rFonts w:hint="eastAsia"/>
        </w:rPr>
        <w:t>は、企業パフォーマンスを向上させるための金融仲介に対する</w:t>
      </w:r>
      <w:r w:rsidRPr="00886FDC">
        <w:rPr>
          <w:rFonts w:hint="eastAsia"/>
        </w:rPr>
        <w:t>ESG</w:t>
      </w:r>
      <w:r w:rsidRPr="00886FDC">
        <w:rPr>
          <w:rFonts w:hint="eastAsia"/>
        </w:rPr>
        <w:t>パフォーマンスのモデレーティング効果</w:t>
      </w:r>
      <w:r w:rsidR="002C5F32">
        <w:rPr>
          <w:rStyle w:val="ad"/>
        </w:rPr>
        <w:footnoteReference w:id="1"/>
      </w:r>
      <w:r w:rsidRPr="00886FDC">
        <w:rPr>
          <w:rFonts w:hint="eastAsia"/>
        </w:rPr>
        <w:t>を推定するものであり、最も重要な値である。</w:t>
      </w:r>
      <w:r w:rsidR="00E723FB">
        <w:rPr>
          <w:rFonts w:hint="eastAsia"/>
        </w:rPr>
        <w:t>下表が、ベースとなる分析結果となっている。</w:t>
      </w:r>
    </w:p>
    <w:p w14:paraId="521647FC" w14:textId="77777777" w:rsidR="00E723FB" w:rsidRDefault="00E723FB" w:rsidP="00663B31">
      <w:pPr>
        <w:rPr>
          <w:rFonts w:hint="eastAsia"/>
        </w:rPr>
      </w:pPr>
    </w:p>
    <w:p w14:paraId="3BD462B1" w14:textId="79EAEFA5" w:rsidR="00E723FB" w:rsidRDefault="00E723FB" w:rsidP="00E723FB">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3</w:t>
      </w:r>
      <w:r>
        <w:fldChar w:fldCharType="end"/>
      </w:r>
      <w:r w:rsidR="00421876">
        <w:t>ESG</w:t>
      </w:r>
      <w:r w:rsidR="00421876">
        <w:rPr>
          <w:rFonts w:hint="eastAsia"/>
        </w:rPr>
        <w:t>と財務パフォーマンスの分析結果</w:t>
      </w:r>
    </w:p>
    <w:p w14:paraId="1F0A290A" w14:textId="77777777" w:rsidR="00E723FB" w:rsidRDefault="00E723FB" w:rsidP="00663B31">
      <w:pPr>
        <w:rPr>
          <w:rFonts w:hint="eastAsia"/>
        </w:rPr>
      </w:pPr>
    </w:p>
    <w:p w14:paraId="44F8825B" w14:textId="77777777" w:rsidR="00421876" w:rsidRDefault="00421876" w:rsidP="00663B31">
      <w:pPr>
        <w:rPr>
          <w:rFonts w:hint="eastAsia"/>
        </w:rPr>
      </w:pPr>
    </w:p>
    <w:p w14:paraId="0CADA8D1" w14:textId="4CBB3FDE" w:rsidR="00421876" w:rsidRDefault="00421876" w:rsidP="00663B31">
      <w:pPr>
        <w:rPr>
          <w:rFonts w:hint="eastAsia"/>
        </w:rPr>
      </w:pPr>
      <w:r w:rsidRPr="00421876">
        <w:rPr>
          <w:rFonts w:hint="eastAsia"/>
        </w:rPr>
        <w:t>表</w:t>
      </w:r>
      <w:r w:rsidRPr="00421876">
        <w:rPr>
          <w:rFonts w:hint="eastAsia"/>
        </w:rPr>
        <w:t>3</w:t>
      </w:r>
      <w:r>
        <w:rPr>
          <w:rFonts w:hint="eastAsia"/>
        </w:rPr>
        <w:t>の</w:t>
      </w:r>
      <w:r w:rsidRPr="00421876">
        <w:rPr>
          <w:rFonts w:hint="eastAsia"/>
        </w:rPr>
        <w:t xml:space="preserve"> 1</w:t>
      </w:r>
      <w:r w:rsidRPr="00421876">
        <w:rPr>
          <w:rFonts w:hint="eastAsia"/>
        </w:rPr>
        <w:t>列目と</w:t>
      </w:r>
      <w:r w:rsidRPr="00421876">
        <w:rPr>
          <w:rFonts w:hint="eastAsia"/>
        </w:rPr>
        <w:t>2</w:t>
      </w:r>
      <w:r w:rsidRPr="00421876">
        <w:rPr>
          <w:rFonts w:hint="eastAsia"/>
        </w:rPr>
        <w:t>列目は式（</w:t>
      </w:r>
      <w:r w:rsidRPr="00421876">
        <w:rPr>
          <w:rFonts w:hint="eastAsia"/>
        </w:rPr>
        <w:t>1</w:t>
      </w:r>
      <w:r w:rsidRPr="00421876">
        <w:rPr>
          <w:rFonts w:hint="eastAsia"/>
        </w:rPr>
        <w:t>）の固定効果付き</w:t>
      </w:r>
      <w:r w:rsidRPr="00421876">
        <w:rPr>
          <w:rFonts w:hint="eastAsia"/>
        </w:rPr>
        <w:t>OLS</w:t>
      </w:r>
      <w:r w:rsidRPr="00421876">
        <w:rPr>
          <w:rFonts w:hint="eastAsia"/>
        </w:rPr>
        <w:t>による推計結果、</w:t>
      </w:r>
      <w:r w:rsidRPr="00421876">
        <w:rPr>
          <w:rFonts w:hint="eastAsia"/>
        </w:rPr>
        <w:t>3</w:t>
      </w:r>
      <w:r w:rsidRPr="00421876">
        <w:rPr>
          <w:rFonts w:hint="eastAsia"/>
        </w:rPr>
        <w:t>列目と</w:t>
      </w:r>
      <w:r w:rsidRPr="00421876">
        <w:rPr>
          <w:rFonts w:hint="eastAsia"/>
        </w:rPr>
        <w:t>4</w:t>
      </w:r>
      <w:r w:rsidRPr="00421876">
        <w:rPr>
          <w:rFonts w:hint="eastAsia"/>
        </w:rPr>
        <w:t>列目は</w:t>
      </w:r>
      <w:r w:rsidRPr="00421876">
        <w:rPr>
          <w:rFonts w:hint="eastAsia"/>
        </w:rPr>
        <w:t>GMM</w:t>
      </w:r>
      <w:r>
        <w:rPr>
          <w:rFonts w:hint="eastAsia"/>
        </w:rPr>
        <w:t>回帰の結果を表している</w:t>
      </w:r>
      <w:r w:rsidRPr="00421876">
        <w:rPr>
          <w:rFonts w:hint="eastAsia"/>
        </w:rPr>
        <w:t>。その結果、</w:t>
      </w:r>
      <w:r w:rsidRPr="00421876">
        <w:rPr>
          <w:rFonts w:hint="eastAsia"/>
        </w:rPr>
        <w:t>ESG</w:t>
      </w:r>
      <w:r w:rsidRPr="00421876">
        <w:rPr>
          <w:rFonts w:hint="eastAsia"/>
        </w:rPr>
        <w:t>パフォーマンスは</w:t>
      </w:r>
      <w:r>
        <w:rPr>
          <w:rFonts w:hint="eastAsia"/>
        </w:rPr>
        <w:t>潜在的な内生性の問題を抱えるものの</w:t>
      </w:r>
      <w:r w:rsidRPr="00421876">
        <w:rPr>
          <w:rFonts w:hint="eastAsia"/>
        </w:rPr>
        <w:t>、企業パフォーマンスに正で有意な影響を与えることが分かった。具体的には、</w:t>
      </w:r>
      <w:r w:rsidRPr="00421876">
        <w:rPr>
          <w:rFonts w:hint="eastAsia"/>
        </w:rPr>
        <w:t>ROA</w:t>
      </w:r>
      <w:r w:rsidRPr="00421876">
        <w:rPr>
          <w:rFonts w:hint="eastAsia"/>
        </w:rPr>
        <w:t>に対する</w:t>
      </w:r>
      <w:r w:rsidRPr="00421876">
        <w:rPr>
          <w:rFonts w:hint="eastAsia"/>
        </w:rPr>
        <w:t>ESG</w:t>
      </w:r>
      <w:r w:rsidRPr="00421876">
        <w:rPr>
          <w:rFonts w:hint="eastAsia"/>
        </w:rPr>
        <w:t>パフォーマンスの係数は</w:t>
      </w:r>
      <w:r w:rsidRPr="00421876">
        <w:rPr>
          <w:rFonts w:hint="eastAsia"/>
        </w:rPr>
        <w:t>5</w:t>
      </w:r>
      <w:r w:rsidRPr="00421876">
        <w:rPr>
          <w:rFonts w:hint="eastAsia"/>
        </w:rPr>
        <w:t>％有意水準で</w:t>
      </w:r>
      <w:r w:rsidRPr="00421876">
        <w:rPr>
          <w:rFonts w:hint="eastAsia"/>
        </w:rPr>
        <w:t>0.009</w:t>
      </w:r>
      <w:r w:rsidRPr="00421876">
        <w:rPr>
          <w:rFonts w:hint="eastAsia"/>
        </w:rPr>
        <w:t>、</w:t>
      </w:r>
      <w:r w:rsidRPr="00421876">
        <w:rPr>
          <w:rFonts w:hint="eastAsia"/>
        </w:rPr>
        <w:t>ROS</w:t>
      </w:r>
      <w:r w:rsidRPr="00421876">
        <w:rPr>
          <w:rFonts w:hint="eastAsia"/>
        </w:rPr>
        <w:t>は</w:t>
      </w:r>
      <w:r w:rsidRPr="00421876">
        <w:rPr>
          <w:rFonts w:hint="eastAsia"/>
        </w:rPr>
        <w:t>1</w:t>
      </w:r>
      <w:r w:rsidRPr="00421876">
        <w:rPr>
          <w:rFonts w:hint="eastAsia"/>
        </w:rPr>
        <w:t>％有意水準で</w:t>
      </w:r>
      <w:r w:rsidRPr="00421876">
        <w:rPr>
          <w:rFonts w:hint="eastAsia"/>
        </w:rPr>
        <w:t>0.320</w:t>
      </w:r>
      <w:r w:rsidRPr="00421876">
        <w:rPr>
          <w:rFonts w:hint="eastAsia"/>
        </w:rPr>
        <w:t>である。この結果は、</w:t>
      </w:r>
      <w:r w:rsidRPr="00421876">
        <w:rPr>
          <w:rFonts w:hint="eastAsia"/>
        </w:rPr>
        <w:t xml:space="preserve">ESG </w:t>
      </w:r>
      <w:r w:rsidRPr="00421876">
        <w:rPr>
          <w:rFonts w:hint="eastAsia"/>
        </w:rPr>
        <w:t>パフォーマンスが企業の利益最大化目標を有意に動機付けることを示している。また、企業の社会的責任活動への参画の活発</w:t>
      </w:r>
      <w:r>
        <w:rPr>
          <w:rFonts w:hint="eastAsia"/>
        </w:rPr>
        <w:t>化が、内部での経営革新に直結している可能性を想定できる</w:t>
      </w:r>
      <w:r w:rsidRPr="00421876">
        <w:rPr>
          <w:rFonts w:hint="eastAsia"/>
        </w:rPr>
        <w:t>。</w:t>
      </w:r>
      <w:r>
        <w:rPr>
          <w:rFonts w:hint="eastAsia"/>
        </w:rPr>
        <w:t>本研究では、外部資金調達やクレジット関連に対する分析も行っている。そこでは、、、、</w:t>
      </w:r>
    </w:p>
    <w:p w14:paraId="51C7D390" w14:textId="77777777" w:rsidR="00421876" w:rsidRDefault="00421876" w:rsidP="00663B31">
      <w:pPr>
        <w:rPr>
          <w:rFonts w:hint="eastAsia"/>
        </w:rPr>
      </w:pPr>
    </w:p>
    <w:p w14:paraId="5FE2943A" w14:textId="77777777" w:rsidR="00E723FB" w:rsidRDefault="00E723FB" w:rsidP="00663B31">
      <w:pPr>
        <w:rPr>
          <w:rFonts w:hint="eastAsia"/>
        </w:rPr>
      </w:pPr>
    </w:p>
    <w:p w14:paraId="77EF1B04" w14:textId="77777777" w:rsidR="00E673FD" w:rsidRDefault="00E673FD" w:rsidP="00663B31">
      <w:pPr>
        <w:rPr>
          <w:rFonts w:hint="eastAsia"/>
        </w:rPr>
      </w:pPr>
    </w:p>
    <w:p w14:paraId="2AEC66DC" w14:textId="1977B347" w:rsidR="00E673FD" w:rsidRDefault="00E673FD" w:rsidP="00E673FD">
      <w:pPr>
        <w:pStyle w:val="1"/>
        <w:rPr>
          <w:rFonts w:hint="eastAsia"/>
        </w:rPr>
      </w:pPr>
      <w:r>
        <w:rPr>
          <w:rFonts w:hint="eastAsia"/>
        </w:rPr>
        <w:t>先行研究３</w:t>
      </w:r>
    </w:p>
    <w:p w14:paraId="20256BE8" w14:textId="77777777" w:rsidR="00E673FD" w:rsidRDefault="00E673FD" w:rsidP="00663B31"/>
    <w:p w14:paraId="2F86FD9E" w14:textId="49DC464B" w:rsidR="00473CC6" w:rsidRDefault="00CE0803" w:rsidP="00663B31">
      <w:pPr>
        <w:rPr>
          <w:rFonts w:hint="eastAsia"/>
        </w:rPr>
      </w:pPr>
      <w:r>
        <w:rPr>
          <w:rFonts w:hint="eastAsia"/>
        </w:rPr>
        <w:t xml:space="preserve">　</w:t>
      </w:r>
      <w:r w:rsidR="00F56902">
        <w:rPr>
          <w:rFonts w:hint="eastAsia"/>
        </w:rPr>
        <w:t>本研究では、</w:t>
      </w:r>
      <w:r w:rsidR="00F56902" w:rsidRPr="00F56902">
        <w:rPr>
          <w:rFonts w:hint="eastAsia"/>
        </w:rPr>
        <w:t>ブラジル、ロシア、インド、中国、南アフリカからなる</w:t>
      </w:r>
      <w:r w:rsidR="00F56902" w:rsidRPr="00F56902">
        <w:rPr>
          <w:rFonts w:hint="eastAsia"/>
        </w:rPr>
        <w:t>BRICS</w:t>
      </w:r>
      <w:r w:rsidR="00F56902">
        <w:rPr>
          <w:rFonts w:hint="eastAsia"/>
        </w:rPr>
        <w:t>諸国における上場している企業のみを対象とした。金融機関は事業活動が特殊であるため</w:t>
      </w:r>
      <w:r w:rsidR="00F56902" w:rsidRPr="00F56902">
        <w:rPr>
          <w:rFonts w:hint="eastAsia"/>
        </w:rPr>
        <w:t>対象外とし</w:t>
      </w:r>
      <w:r w:rsidR="00F56902">
        <w:rPr>
          <w:rFonts w:hint="eastAsia"/>
        </w:rPr>
        <w:t>た</w:t>
      </w:r>
      <w:r w:rsidR="00F56902" w:rsidRPr="00F56902">
        <w:rPr>
          <w:rFonts w:hint="eastAsia"/>
        </w:rPr>
        <w:t>結果、サンプルは</w:t>
      </w:r>
      <w:r w:rsidR="00F56902" w:rsidRPr="00F56902">
        <w:rPr>
          <w:rFonts w:hint="eastAsia"/>
        </w:rPr>
        <w:t>365</w:t>
      </w:r>
      <w:r w:rsidR="00F56902" w:rsidRPr="00F56902">
        <w:rPr>
          <w:rFonts w:hint="eastAsia"/>
        </w:rPr>
        <w:t>社</w:t>
      </w:r>
      <w:r w:rsidR="00F56902" w:rsidRPr="00F56902">
        <w:rPr>
          <w:rFonts w:hint="eastAsia"/>
        </w:rPr>
        <w:t>1095</w:t>
      </w:r>
      <w:r w:rsidR="00F56902">
        <w:rPr>
          <w:rFonts w:hint="eastAsia"/>
        </w:rPr>
        <w:t>件としている。また、トムソン・ロイターについては、</w:t>
      </w:r>
      <w:r w:rsidR="00F56902" w:rsidRPr="00F56902">
        <w:rPr>
          <w:rFonts w:hint="eastAsia"/>
        </w:rPr>
        <w:t>BRICS</w:t>
      </w:r>
      <w:r w:rsidR="00F56902" w:rsidRPr="00F56902">
        <w:rPr>
          <w:rFonts w:hint="eastAsia"/>
        </w:rPr>
        <w:t>諸国の企業の</w:t>
      </w:r>
      <w:r w:rsidR="00F56902" w:rsidRPr="00F56902">
        <w:rPr>
          <w:rFonts w:hint="eastAsia"/>
        </w:rPr>
        <w:t>ESG</w:t>
      </w:r>
      <w:r w:rsidR="00F56902" w:rsidRPr="00F56902">
        <w:rPr>
          <w:rFonts w:hint="eastAsia"/>
        </w:rPr>
        <w:t>スコアが導入されたのは</w:t>
      </w:r>
      <w:r w:rsidR="00F56902" w:rsidRPr="00F56902">
        <w:rPr>
          <w:rFonts w:hint="eastAsia"/>
        </w:rPr>
        <w:t>2007</w:t>
      </w:r>
      <w:r w:rsidR="00F56902" w:rsidRPr="00F56902">
        <w:rPr>
          <w:rFonts w:hint="eastAsia"/>
        </w:rPr>
        <w:t>年である。しかし、</w:t>
      </w:r>
      <w:r w:rsidR="00F56902" w:rsidRPr="00F56902">
        <w:rPr>
          <w:rFonts w:hint="eastAsia"/>
        </w:rPr>
        <w:t>2007</w:t>
      </w:r>
      <w:r w:rsidR="00F56902" w:rsidRPr="00F56902">
        <w:rPr>
          <w:rFonts w:hint="eastAsia"/>
        </w:rPr>
        <w:t>年から</w:t>
      </w:r>
      <w:r w:rsidR="00F56902" w:rsidRPr="00F56902">
        <w:rPr>
          <w:rFonts w:hint="eastAsia"/>
        </w:rPr>
        <w:t>2009</w:t>
      </w:r>
      <w:r w:rsidR="00F56902" w:rsidRPr="00F56902">
        <w:rPr>
          <w:rFonts w:hint="eastAsia"/>
        </w:rPr>
        <w:t>年までのデータベースでは、</w:t>
      </w:r>
      <w:r w:rsidR="00F56902" w:rsidRPr="00F56902">
        <w:rPr>
          <w:rFonts w:hint="eastAsia"/>
        </w:rPr>
        <w:t>BRICS</w:t>
      </w:r>
      <w:r w:rsidR="00F56902" w:rsidRPr="00F56902">
        <w:rPr>
          <w:rFonts w:hint="eastAsia"/>
        </w:rPr>
        <w:t>諸国の企業の数が限られているため、今回のサンプルでは、</w:t>
      </w:r>
      <w:r w:rsidR="00F56902" w:rsidRPr="00F56902">
        <w:rPr>
          <w:rFonts w:hint="eastAsia"/>
        </w:rPr>
        <w:t>2010</w:t>
      </w:r>
      <w:r w:rsidR="00F56902" w:rsidRPr="00F56902">
        <w:rPr>
          <w:rFonts w:hint="eastAsia"/>
        </w:rPr>
        <w:t>年から</w:t>
      </w:r>
      <w:r w:rsidR="00F56902" w:rsidRPr="00F56902">
        <w:rPr>
          <w:rFonts w:hint="eastAsia"/>
        </w:rPr>
        <w:t>2012</w:t>
      </w:r>
      <w:r>
        <w:rPr>
          <w:rFonts w:hint="eastAsia"/>
        </w:rPr>
        <w:t>年までの期間としている。使用するモデルは、以下の重回帰モデルとなっている。</w:t>
      </w:r>
      <w:r w:rsidR="00473CC6">
        <w:rPr>
          <w:rFonts w:hint="eastAsia"/>
        </w:rPr>
        <w:t>使用している変数の定義は、表●の通りとなっている。</w:t>
      </w:r>
      <m:oMath>
        <m:r>
          <w:rPr>
            <w:rFonts w:ascii="Cambria Math" w:hAnsi="Cambria Math"/>
          </w:rPr>
          <m:t>Firm performance</m:t>
        </m:r>
      </m:oMath>
      <w:r w:rsidR="00344A12">
        <w:rPr>
          <w:rFonts w:hint="eastAsia"/>
        </w:rPr>
        <w:t>が、企業</w:t>
      </w:r>
      <w:r w:rsidR="00344A12">
        <w:t>ESG</w:t>
      </w:r>
      <w:r w:rsidR="00344A12">
        <w:rPr>
          <w:rFonts w:hint="eastAsia"/>
        </w:rPr>
        <w:t>パフォーマンスにあたり、</w:t>
      </w:r>
      <w:r w:rsidR="00344A12">
        <w:t>ESG</w:t>
      </w:r>
      <w:r w:rsidR="00344A12">
        <w:rPr>
          <w:rFonts w:hint="eastAsia"/>
        </w:rPr>
        <w:t>総合スコアや環境スコア等の変数を用いている。</w:t>
      </w:r>
      <w:r w:rsidR="00473CC6">
        <w:rPr>
          <w:rFonts w:hint="eastAsia"/>
        </w:rPr>
        <w:t>なお、</w:t>
      </w:r>
      <m:oMath>
        <m:r>
          <w:rPr>
            <w:rFonts w:ascii="Cambria Math" w:hAnsi="Cambria Math"/>
          </w:rPr>
          <m:t>i</m:t>
        </m:r>
      </m:oMath>
      <w:r w:rsidR="00473CC6">
        <w:rPr>
          <w:rFonts w:hint="eastAsia"/>
        </w:rPr>
        <w:t>は企業、</w:t>
      </w:r>
      <m:oMath>
        <m:r>
          <w:rPr>
            <w:rFonts w:ascii="Cambria Math" w:hAnsi="Cambria Math"/>
          </w:rPr>
          <m:t>j</m:t>
        </m:r>
      </m:oMath>
      <w:r w:rsidR="00473CC6">
        <w:rPr>
          <w:rFonts w:hint="eastAsia"/>
        </w:rPr>
        <w:t>がセクター、</w:t>
      </w:r>
      <m:oMath>
        <m:r>
          <w:rPr>
            <w:rFonts w:ascii="Cambria Math" w:hAnsi="Cambria Math"/>
          </w:rPr>
          <m:t>t</m:t>
        </m:r>
      </m:oMath>
      <w:r w:rsidR="00473CC6">
        <w:rPr>
          <w:rFonts w:hint="eastAsia"/>
        </w:rPr>
        <w:t>は年、</w:t>
      </w:r>
      <m:oMath>
        <m:sSub>
          <m:sSubPr>
            <m:ctrlPr>
              <w:rPr>
                <w:rFonts w:ascii="Cambria Math" w:hAnsi="Cambria Math"/>
                <w:i/>
              </w:rPr>
            </m:ctrlPr>
          </m:sSubPr>
          <m:e>
            <m:r>
              <w:rPr>
                <w:rFonts w:ascii="Cambria Math" w:hAnsi="Cambria Math"/>
              </w:rPr>
              <m:t>ρ</m:t>
            </m:r>
          </m:e>
          <m:sub>
            <m:r>
              <w:rPr>
                <w:rFonts w:ascii="Cambria Math" w:hAnsi="Cambria Math"/>
              </w:rPr>
              <m:t>j</m:t>
            </m:r>
          </m:sub>
        </m:sSub>
      </m:oMath>
      <w:r w:rsidR="00473CC6">
        <w:rPr>
          <w:rFonts w:hint="eastAsia"/>
        </w:rPr>
        <w:t>はセクターの固定効果、</w:t>
      </w:r>
      <m:oMath>
        <m:sSub>
          <m:sSubPr>
            <m:ctrlPr>
              <w:rPr>
                <w:rFonts w:ascii="Cambria Math" w:hAnsi="Cambria Math"/>
                <w:i/>
              </w:rPr>
            </m:ctrlPr>
          </m:sSubPr>
          <m:e>
            <m:r>
              <w:rPr>
                <w:rFonts w:ascii="Cambria Math" w:hAnsi="Cambria Math"/>
              </w:rPr>
              <m:t>ϕ</m:t>
            </m:r>
          </m:e>
          <m:sub>
            <m:r>
              <w:rPr>
                <w:rFonts w:ascii="Cambria Math" w:hAnsi="Cambria Math"/>
              </w:rPr>
              <m:t>t</m:t>
            </m:r>
          </m:sub>
        </m:sSub>
      </m:oMath>
      <w:r w:rsidR="00473CC6">
        <w:rPr>
          <w:rFonts w:hint="eastAsia"/>
        </w:rPr>
        <w:t>は時間効果、</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473CC6">
        <w:rPr>
          <w:rFonts w:hint="eastAsia"/>
        </w:rPr>
        <w:t>は誤差項を表している。</w:t>
      </w:r>
    </w:p>
    <w:p w14:paraId="1D84445B" w14:textId="77777777" w:rsidR="00473CC6" w:rsidRDefault="00473CC6" w:rsidP="00663B31">
      <w:pPr>
        <w:rPr>
          <w:rFonts w:hint="eastAsia"/>
        </w:rPr>
      </w:pPr>
    </w:p>
    <w:p w14:paraId="77747C9B" w14:textId="047E1428" w:rsidR="001361BE" w:rsidRPr="00201017" w:rsidRDefault="001361BE" w:rsidP="001361BE">
      <m:oMathPara>
        <m:oMath>
          <m:sSub>
            <m:sSubPr>
              <m:ctrlPr>
                <w:rPr>
                  <w:rFonts w:ascii="Cambria Math" w:hAnsi="Cambria Math"/>
                  <w:i/>
                </w:rPr>
              </m:ctrlPr>
            </m:sSubPr>
            <m:e>
              <m:r>
                <w:rPr>
                  <w:rFonts w:ascii="Cambria Math" w:hAnsi="Cambria Math"/>
                </w:rPr>
                <m:t>Firm performance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Roa</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Industry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FCF</m:t>
              </m:r>
            </m:e>
            <m:sub>
              <m:r>
                <w:rPr>
                  <w:rFonts w:ascii="Cambria Math" w:hAnsi="Cambria Math"/>
                </w:rPr>
                <m:t>it</m:t>
              </m:r>
            </m:sub>
          </m:sSub>
          <m:r>
            <m:rPr>
              <m:brk/>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Risk</m:t>
              </m:r>
            </m:e>
            <m:sub>
              <m:r>
                <w:rPr>
                  <w:rFonts w:ascii="Cambria Math" w:hAnsi="Cambria Math"/>
                </w:rPr>
                <m:t>it</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δ</m:t>
                  </m:r>
                </m:e>
                <m:sub>
                  <m:r>
                    <w:rPr>
                      <w:rFonts w:ascii="Cambria Math" w:hAnsi="Cambria Math"/>
                    </w:rPr>
                    <m:t>j</m:t>
                  </m:r>
                </m:sub>
              </m:sSub>
            </m:e>
          </m:nary>
          <m:sSub>
            <m:sSubPr>
              <m:ctrlPr>
                <w:rPr>
                  <w:rFonts w:ascii="Cambria Math" w:hAnsi="Cambria Math"/>
                  <w:i/>
                </w:rPr>
              </m:ctrlPr>
            </m:sSubPr>
            <m:e>
              <m:r>
                <w:rPr>
                  <w:rFonts w:ascii="Cambria Math" w:hAnsi="Cambria Math"/>
                </w:rPr>
                <m:t>CV</m:t>
              </m:r>
            </m:e>
            <m:sub>
              <m:r>
                <w:rPr>
                  <w:rFonts w:ascii="Cambria Math" w:hAnsi="Cambria Math"/>
                </w:rPr>
                <m:t>ji</m:t>
              </m:r>
            </m:sub>
          </m:sSub>
          <m:r>
            <w:rPr>
              <w:rFonts w:ascii="Cambria Math" w:hAnsi="Cambria Math"/>
            </w:rPr>
            <m:t xml:space="preserve"> +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6A97733" w14:textId="2F7A93B3" w:rsidR="00E673FD" w:rsidRDefault="00E673FD" w:rsidP="001361BE">
      <w:pPr>
        <w:rPr>
          <w:rFonts w:hint="eastAsia"/>
        </w:rPr>
      </w:pPr>
    </w:p>
    <w:p w14:paraId="0E03D332" w14:textId="381C6E30" w:rsidR="00473CC6" w:rsidRDefault="00473CC6" w:rsidP="00473CC6">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4</w:t>
      </w:r>
      <w:r>
        <w:fldChar w:fldCharType="end"/>
      </w:r>
      <w:r>
        <w:rPr>
          <w:rFonts w:hint="eastAsia"/>
        </w:rPr>
        <w:t>各変数の定義</w:t>
      </w:r>
    </w:p>
    <w:p w14:paraId="35BBEAB9" w14:textId="77777777" w:rsidR="00473CC6" w:rsidRDefault="00473CC6" w:rsidP="00473CC6">
      <w:pPr>
        <w:rPr>
          <w:rFonts w:hint="eastAsia"/>
        </w:rPr>
      </w:pPr>
    </w:p>
    <w:p w14:paraId="05289965" w14:textId="2C823744" w:rsidR="00473CC6" w:rsidRDefault="00473CC6" w:rsidP="00473CC6">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5</w:t>
      </w:r>
      <w:r>
        <w:fldChar w:fldCharType="end"/>
      </w:r>
      <w:r w:rsidR="00344A12">
        <w:t>ESG</w:t>
      </w:r>
      <w:r w:rsidR="00344A12">
        <w:rPr>
          <w:rFonts w:hint="eastAsia"/>
        </w:rPr>
        <w:t>総合スコアにおける</w:t>
      </w:r>
      <w:r>
        <w:rPr>
          <w:rFonts w:hint="eastAsia"/>
        </w:rPr>
        <w:t>重回帰分析の結果</w:t>
      </w:r>
    </w:p>
    <w:p w14:paraId="0CFA73FA" w14:textId="77777777" w:rsidR="00473CC6" w:rsidRDefault="00473CC6" w:rsidP="00473CC6">
      <w:pPr>
        <w:rPr>
          <w:rFonts w:hint="eastAsia"/>
        </w:rPr>
      </w:pPr>
    </w:p>
    <w:p w14:paraId="7F40060C" w14:textId="77777777" w:rsidR="00473CC6" w:rsidRDefault="00473CC6" w:rsidP="00473CC6">
      <w:pPr>
        <w:rPr>
          <w:rFonts w:hint="eastAsia"/>
        </w:rPr>
      </w:pPr>
    </w:p>
    <w:p w14:paraId="7D953BF8" w14:textId="77777777" w:rsidR="00344A12" w:rsidRDefault="00344A12" w:rsidP="00473CC6">
      <w:pPr>
        <w:rPr>
          <w:rFonts w:hint="eastAsia"/>
        </w:rPr>
      </w:pPr>
    </w:p>
    <w:p w14:paraId="612A91F4" w14:textId="7C19A6A0" w:rsidR="00344A12" w:rsidRDefault="00344A12" w:rsidP="00344A12">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6</w:t>
      </w:r>
      <w:r>
        <w:fldChar w:fldCharType="end"/>
      </w:r>
      <w:r>
        <w:rPr>
          <w:rFonts w:hint="eastAsia"/>
        </w:rPr>
        <w:t>環境スコアにおける重回帰分析の結果</w:t>
      </w:r>
    </w:p>
    <w:p w14:paraId="4A29FA1F" w14:textId="306797AB" w:rsidR="00344A12" w:rsidRDefault="00344A12" w:rsidP="00473CC6">
      <w:pPr>
        <w:rPr>
          <w:rFonts w:hint="eastAsia"/>
        </w:rPr>
      </w:pPr>
      <w:r>
        <w:rPr>
          <w:rFonts w:hint="eastAsia"/>
          <w:noProof/>
        </w:rPr>
        <w:drawing>
          <wp:inline distT="0" distB="0" distL="0" distR="0" wp14:anchorId="485CDDA7" wp14:editId="51FEA0B1">
            <wp:extent cx="5399405" cy="2199005"/>
            <wp:effectExtent l="0" t="0" r="10795" b="10795"/>
            <wp:docPr id="3" name="図 3" descr="Macintosh HD:private:var:folders:k6:z0mp51ns11n70wmjtlbhj81h0000gn:T:TemporaryItems:スクリーンショット 2022-09-11 17.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k6:z0mp51ns11n70wmjtlbhj81h0000gn:T:TemporaryItems:スクリーンショット 2022-09-11 17.09.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199005"/>
                    </a:xfrm>
                    <a:prstGeom prst="rect">
                      <a:avLst/>
                    </a:prstGeom>
                    <a:noFill/>
                    <a:ln>
                      <a:noFill/>
                    </a:ln>
                  </pic:spPr>
                </pic:pic>
              </a:graphicData>
            </a:graphic>
          </wp:inline>
        </w:drawing>
      </w:r>
    </w:p>
    <w:p w14:paraId="11324E25" w14:textId="77777777" w:rsidR="00344A12" w:rsidRDefault="00344A12" w:rsidP="00473CC6">
      <w:pPr>
        <w:rPr>
          <w:rFonts w:hint="eastAsia"/>
        </w:rPr>
      </w:pPr>
    </w:p>
    <w:p w14:paraId="51EC9ECF" w14:textId="4ADBDFAC" w:rsidR="00344A12" w:rsidRDefault="00BA5EC9" w:rsidP="00473CC6">
      <w:pPr>
        <w:rPr>
          <w:rFonts w:hint="eastAsia"/>
        </w:rPr>
      </w:pPr>
      <w:r>
        <w:rPr>
          <w:rFonts w:hint="eastAsia"/>
        </w:rPr>
        <w:t>ここでの分析結果から得られる示唆として、、、</w:t>
      </w:r>
    </w:p>
    <w:p w14:paraId="7020AABD" w14:textId="77777777" w:rsidR="00BA5EC9" w:rsidRDefault="00BA5EC9" w:rsidP="00473CC6">
      <w:pPr>
        <w:rPr>
          <w:rFonts w:hint="eastAsia"/>
        </w:rPr>
      </w:pPr>
    </w:p>
    <w:p w14:paraId="30430C06" w14:textId="77777777" w:rsidR="00BA5EC9" w:rsidRDefault="00BA5EC9" w:rsidP="00473CC6">
      <w:pPr>
        <w:rPr>
          <w:rFonts w:hint="eastAsia"/>
        </w:rPr>
      </w:pPr>
    </w:p>
    <w:p w14:paraId="1731034C" w14:textId="75E81C30" w:rsidR="00BA5EC9" w:rsidRDefault="00C5417C" w:rsidP="00C5417C">
      <w:pPr>
        <w:pStyle w:val="1"/>
        <w:rPr>
          <w:rFonts w:hint="eastAsia"/>
        </w:rPr>
      </w:pPr>
      <w:r>
        <w:rPr>
          <w:rFonts w:hint="eastAsia"/>
        </w:rPr>
        <w:t>先行研究４</w:t>
      </w:r>
    </w:p>
    <w:p w14:paraId="648E6249" w14:textId="77777777" w:rsidR="00C5417C" w:rsidRDefault="00C5417C" w:rsidP="00473CC6">
      <w:pPr>
        <w:rPr>
          <w:rFonts w:hint="eastAsia"/>
        </w:rPr>
      </w:pPr>
    </w:p>
    <w:p w14:paraId="455D664F" w14:textId="47EFDC7E" w:rsidR="00C5417C" w:rsidRDefault="00C91770" w:rsidP="00473CC6">
      <w:pPr>
        <w:rPr>
          <w:rFonts w:hint="eastAsia"/>
        </w:rPr>
      </w:pPr>
      <w:r w:rsidRPr="00C91770">
        <w:t>2012</w:t>
      </w:r>
      <w:r w:rsidRPr="00C91770">
        <w:rPr>
          <w:rFonts w:hint="eastAsia"/>
        </w:rPr>
        <w:t>年から</w:t>
      </w:r>
      <w:r w:rsidRPr="00C91770">
        <w:t>2020</w:t>
      </w:r>
      <w:r w:rsidRPr="00C91770">
        <w:rPr>
          <w:rFonts w:hint="eastAsia"/>
        </w:rPr>
        <w:t>年まで</w:t>
      </w:r>
      <w:r w:rsidRPr="00C91770">
        <w:t>70</w:t>
      </w:r>
      <w:r w:rsidRPr="00C91770">
        <w:rPr>
          <w:rFonts w:hint="eastAsia"/>
        </w:rPr>
        <w:t>カ国</w:t>
      </w:r>
      <w:r w:rsidRPr="00C91770">
        <w:t>3950</w:t>
      </w:r>
      <w:r w:rsidRPr="00C91770">
        <w:rPr>
          <w:rFonts w:hint="eastAsia"/>
        </w:rPr>
        <w:t>社サンプルを用いて、</w:t>
      </w:r>
      <w:r w:rsidRPr="00C91770">
        <w:t>ESG</w:t>
      </w:r>
      <w:r>
        <w:rPr>
          <w:rFonts w:hint="eastAsia"/>
        </w:rPr>
        <w:t>活動が「企業のフリーキャッシュフロー」と「株式の</w:t>
      </w:r>
      <w:r w:rsidRPr="00C91770">
        <w:rPr>
          <w:rFonts w:hint="eastAsia"/>
        </w:rPr>
        <w:t>フリーキャッシュフロー」に及ぼす影響を検証する。</w:t>
      </w:r>
      <w:r w:rsidR="000C4546">
        <w:rPr>
          <w:rFonts w:hint="eastAsia"/>
        </w:rPr>
        <w:t>それぞれの変数は以下のように定義している（</w:t>
      </w:r>
      <w:r w:rsidR="000C4546">
        <w:rPr>
          <w:rFonts w:hint="eastAsia"/>
        </w:rPr>
        <w:t>t</w:t>
      </w:r>
      <w:r w:rsidR="000C4546">
        <w:rPr>
          <w:rFonts w:hint="eastAsia"/>
        </w:rPr>
        <w:t>は実効税率）。</w:t>
      </w:r>
    </w:p>
    <w:p w14:paraId="2B2AABBC" w14:textId="77777777" w:rsidR="00C5417C" w:rsidRDefault="00C5417C" w:rsidP="00473CC6">
      <w:pPr>
        <w:rPr>
          <w:rFonts w:hint="eastAsia"/>
        </w:rPr>
      </w:pPr>
    </w:p>
    <w:p w14:paraId="2E637D26" w14:textId="19164C5A" w:rsidR="000C4546" w:rsidRPr="000C4546" w:rsidRDefault="000C4546" w:rsidP="000C4546">
      <m:oMathPara>
        <m:oMath>
          <m:r>
            <m:rPr>
              <m:sty m:val="p"/>
            </m:rPr>
            <w:rPr>
              <w:rFonts w:ascii="Cambria Math" w:hAnsi="Cambria Math" w:hint="eastAsia"/>
            </w:rPr>
            <m:t>FCFF</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EBIT(1</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資本的支出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減価償却費</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非現金運転資本増減率</m:t>
          </m:r>
        </m:oMath>
      </m:oMathPara>
    </w:p>
    <w:p w14:paraId="077BE9B2" w14:textId="2EC1F508" w:rsidR="000C4546" w:rsidRDefault="000C4546" w:rsidP="000C4546">
      <m:oMathPara>
        <m:oMath>
          <m:r>
            <m:rPr>
              <m:sty m:val="p"/>
            </m:rPr>
            <w:rPr>
              <w:rFonts w:ascii="Cambria Math" w:hAnsi="Cambria Math" w:hint="eastAsia"/>
            </w:rPr>
            <m:t>FCFE</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当期純利益</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資本的支出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減価償却費</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非現金運転資本増減率</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元本返済</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新規借入</m:t>
          </m:r>
          <m:r>
            <m:rPr>
              <m:sty m:val="p"/>
            </m:rPr>
            <w:rPr>
              <w:rFonts w:ascii="Cambria Math" w:hAnsi="Cambria Math"/>
            </w:rPr>
            <m:t>)</m:t>
          </m:r>
        </m:oMath>
      </m:oMathPara>
    </w:p>
    <w:p w14:paraId="627D2910" w14:textId="61E1FE4F" w:rsidR="000C4546" w:rsidRDefault="000C4546" w:rsidP="00473CC6"/>
    <w:p w14:paraId="35E604B3" w14:textId="54B8202A" w:rsidR="000C4546" w:rsidRDefault="000C4546" w:rsidP="00473CC6">
      <w:pPr>
        <w:rPr>
          <w:rFonts w:hint="eastAsia"/>
        </w:rPr>
      </w:pPr>
      <w:r>
        <w:rPr>
          <w:rFonts w:hint="eastAsia"/>
        </w:rPr>
        <w:t>その他のコントロール変数として</w:t>
      </w:r>
      <w:r w:rsidR="00184034">
        <w:rPr>
          <w:rFonts w:hint="eastAsia"/>
        </w:rPr>
        <w:t>、時価総額や、負債比率、流動性、機関投資家の株式保有割合、資本支出等を使用している。財務データはブルームバーグから取得しており、</w:t>
      </w:r>
      <w:r w:rsidR="00184034">
        <w:t>ESG</w:t>
      </w:r>
      <w:r w:rsidR="00184034">
        <w:rPr>
          <w:rFonts w:hint="eastAsia"/>
        </w:rPr>
        <w:t>スコアはトムソン・ロイターからデータを得ている。本研究では、回帰式が省略されていたが、多数の実証分析を行っている。ここでは一部を紹介する。</w:t>
      </w:r>
    </w:p>
    <w:p w14:paraId="36B6DFFF" w14:textId="77777777" w:rsidR="00184034" w:rsidRDefault="00184034" w:rsidP="00473CC6">
      <w:pPr>
        <w:rPr>
          <w:rFonts w:hint="eastAsia"/>
        </w:rPr>
      </w:pPr>
    </w:p>
    <w:p w14:paraId="20BC1354" w14:textId="77777777" w:rsidR="00184034" w:rsidRDefault="00184034" w:rsidP="00473CC6">
      <w:pPr>
        <w:rPr>
          <w:rFonts w:hint="eastAsia"/>
        </w:rPr>
      </w:pPr>
    </w:p>
    <w:p w14:paraId="6A3E4140" w14:textId="365A8061" w:rsidR="00184034" w:rsidRDefault="00184034" w:rsidP="00B46198">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7</w:t>
      </w:r>
      <w:r>
        <w:fldChar w:fldCharType="end"/>
      </w:r>
      <w:r w:rsidR="00B46198">
        <w:t>FCFF</w:t>
      </w:r>
      <w:r w:rsidR="00B46198">
        <w:rPr>
          <w:rFonts w:hint="eastAsia"/>
        </w:rPr>
        <w:t>、および</w:t>
      </w:r>
      <w:r w:rsidR="00B46198">
        <w:t>FCFE</w:t>
      </w:r>
      <w:r>
        <w:rPr>
          <w:rFonts w:hint="eastAsia"/>
        </w:rPr>
        <w:t>に対する</w:t>
      </w:r>
      <w:r w:rsidR="00B46198">
        <w:rPr>
          <w:rFonts w:hint="eastAsia"/>
        </w:rPr>
        <w:t>重回帰分析</w:t>
      </w:r>
    </w:p>
    <w:p w14:paraId="7D5D27FD" w14:textId="57D08CB8" w:rsidR="00184034" w:rsidRDefault="00B46198" w:rsidP="00473CC6">
      <w:pPr>
        <w:rPr>
          <w:rFonts w:hint="eastAsia"/>
        </w:rPr>
      </w:pPr>
      <w:r>
        <w:rPr>
          <w:rFonts w:hint="eastAsia"/>
          <w:noProof/>
        </w:rPr>
        <w:drawing>
          <wp:inline distT="0" distB="0" distL="0" distR="0" wp14:anchorId="62BAE690" wp14:editId="2F93E54D">
            <wp:extent cx="5388610" cy="3015615"/>
            <wp:effectExtent l="0" t="0" r="0" b="6985"/>
            <wp:docPr id="5" name="図 5" descr="Macintosh HD:private:var:folders:k6:z0mp51ns11n70wmjtlbhj81h0000gn:T:TemporaryItems:スクリーンショット 2022-09-11 17.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k6:z0mp51ns11n70wmjtlbhj81h0000gn:T:TemporaryItems:スクリーンショット 2022-09-11 17.49.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610" cy="3015615"/>
                    </a:xfrm>
                    <a:prstGeom prst="rect">
                      <a:avLst/>
                    </a:prstGeom>
                    <a:noFill/>
                    <a:ln>
                      <a:noFill/>
                    </a:ln>
                  </pic:spPr>
                </pic:pic>
              </a:graphicData>
            </a:graphic>
          </wp:inline>
        </w:drawing>
      </w:r>
    </w:p>
    <w:p w14:paraId="76B34F33" w14:textId="77777777" w:rsidR="00B46198" w:rsidRDefault="00B46198" w:rsidP="00473CC6">
      <w:pPr>
        <w:rPr>
          <w:rFonts w:hint="eastAsia"/>
        </w:rPr>
      </w:pPr>
    </w:p>
    <w:p w14:paraId="57F247FE" w14:textId="1C8F153F" w:rsidR="00B46198" w:rsidRDefault="00B46198" w:rsidP="00473CC6">
      <w:pPr>
        <w:rPr>
          <w:rFonts w:hint="eastAsia"/>
        </w:rPr>
      </w:pPr>
      <w:r>
        <w:rPr>
          <w:rFonts w:hint="eastAsia"/>
          <w:noProof/>
        </w:rPr>
        <w:drawing>
          <wp:inline distT="0" distB="0" distL="0" distR="0" wp14:anchorId="73A58087" wp14:editId="31FB9BA7">
            <wp:extent cx="5399405" cy="2982595"/>
            <wp:effectExtent l="0" t="0" r="10795" b="0"/>
            <wp:docPr id="6" name="図 6" descr="Macintosh HD:private:var:folders:k6:z0mp51ns11n70wmjtlbhj81h0000gn:T:TemporaryItems:スクリーンショット 2022-09-11 17.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k6:z0mp51ns11n70wmjtlbhj81h0000gn:T:TemporaryItems:スクリーンショット 2022-09-11 17.49.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982595"/>
                    </a:xfrm>
                    <a:prstGeom prst="rect">
                      <a:avLst/>
                    </a:prstGeom>
                    <a:noFill/>
                    <a:ln>
                      <a:noFill/>
                    </a:ln>
                  </pic:spPr>
                </pic:pic>
              </a:graphicData>
            </a:graphic>
          </wp:inline>
        </w:drawing>
      </w:r>
    </w:p>
    <w:p w14:paraId="78E9D943" w14:textId="77777777" w:rsidR="00B46198" w:rsidRDefault="00B46198" w:rsidP="00473CC6">
      <w:pPr>
        <w:rPr>
          <w:rFonts w:hint="eastAsia"/>
        </w:rPr>
      </w:pPr>
    </w:p>
    <w:p w14:paraId="17B22FE0" w14:textId="4358FAAB" w:rsidR="00B46198" w:rsidRDefault="00B46198" w:rsidP="00B46198">
      <w:pPr>
        <w:rPr>
          <w:rFonts w:hint="eastAsia"/>
        </w:rPr>
      </w:pPr>
      <w:r>
        <w:rPr>
          <w:rFonts w:hint="eastAsia"/>
        </w:rPr>
        <w:t>表</w:t>
      </w:r>
      <w:r>
        <w:t>7</w:t>
      </w:r>
      <w:r>
        <w:rPr>
          <w:rFonts w:hint="eastAsia"/>
        </w:rPr>
        <w:t>は、</w:t>
      </w:r>
      <w:r>
        <w:t>FCFF</w:t>
      </w:r>
      <w:r>
        <w:rPr>
          <w:rFonts w:hint="eastAsia"/>
        </w:rPr>
        <w:t>、および</w:t>
      </w:r>
      <w:r>
        <w:t>FCFE</w:t>
      </w:r>
      <w:r>
        <w:rPr>
          <w:rFonts w:hint="eastAsia"/>
        </w:rPr>
        <w:t>を被説明変数に設定し、財務データ等を説明変数とした重回帰分析を行っている。本分析の結果から、</w:t>
      </w:r>
      <w:r>
        <w:rPr>
          <w:rFonts w:hint="eastAsia"/>
        </w:rPr>
        <w:t>ESG</w:t>
      </w:r>
      <w:r>
        <w:rPr>
          <w:rFonts w:hint="eastAsia"/>
        </w:rPr>
        <w:t>の変数だけでは、内生性の問題があるが、</w:t>
      </w:r>
      <w:r>
        <w:t>FCFF</w:t>
      </w:r>
      <w:r>
        <w:rPr>
          <w:rFonts w:hint="eastAsia"/>
        </w:rPr>
        <w:t>と</w:t>
      </w:r>
      <w:r>
        <w:t>ESG</w:t>
      </w:r>
      <w:r>
        <w:rPr>
          <w:rFonts w:hint="eastAsia"/>
        </w:rPr>
        <w:t>は正の関係性があるものの、</w:t>
      </w:r>
      <w:r>
        <w:t>FCFE</w:t>
      </w:r>
      <w:r>
        <w:rPr>
          <w:rFonts w:hint="eastAsia"/>
        </w:rPr>
        <w:t>と</w:t>
      </w:r>
      <w:r>
        <w:t>ESG</w:t>
      </w:r>
      <w:r>
        <w:rPr>
          <w:rFonts w:hint="eastAsia"/>
        </w:rPr>
        <w:t>には関係性が見られないことが分かった。これは、株主や債権者へのキャッシュフローである企業へのフリーキャッシュフローには</w:t>
      </w:r>
      <w:r>
        <w:rPr>
          <w:rFonts w:hint="eastAsia"/>
        </w:rPr>
        <w:t>ESG</w:t>
      </w:r>
      <w:r>
        <w:rPr>
          <w:rFonts w:hint="eastAsia"/>
        </w:rPr>
        <w:t>活動に対する正の有意な係数があり、資本へのフリーキャッシュフローには有意な係数がないことから、</w:t>
      </w:r>
      <w:r>
        <w:rPr>
          <w:rFonts w:hint="eastAsia"/>
        </w:rPr>
        <w:t>ESG</w:t>
      </w:r>
      <w:r>
        <w:rPr>
          <w:rFonts w:hint="eastAsia"/>
        </w:rPr>
        <w:t>活動の恩恵は株主ではなく債</w:t>
      </w:r>
      <w:r w:rsidR="001B0573">
        <w:rPr>
          <w:rFonts w:hint="eastAsia"/>
        </w:rPr>
        <w:t>権者に概ね流れていることがわかる</w:t>
      </w:r>
      <w:r>
        <w:rPr>
          <w:rFonts w:hint="eastAsia"/>
        </w:rPr>
        <w:t>。</w:t>
      </w:r>
    </w:p>
    <w:p w14:paraId="491AAE00" w14:textId="77777777" w:rsidR="008B51B8" w:rsidRDefault="008B51B8" w:rsidP="00B46198">
      <w:pPr>
        <w:rPr>
          <w:rFonts w:hint="eastAsia"/>
        </w:rPr>
      </w:pPr>
    </w:p>
    <w:p w14:paraId="64471B53" w14:textId="51C3C56E" w:rsidR="008B51B8" w:rsidRPr="008B51B8" w:rsidRDefault="008B51B8" w:rsidP="008B51B8">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DF2162">
        <w:rPr>
          <w:noProof/>
        </w:rPr>
        <w:t>8</w:t>
      </w:r>
      <w:r>
        <w:fldChar w:fldCharType="end"/>
      </w:r>
      <w:r>
        <w:rPr>
          <w:rFonts w:hint="eastAsia"/>
        </w:rPr>
        <w:t>先進国、途上国別の</w:t>
      </w:r>
      <w:r>
        <w:t>ESG</w:t>
      </w:r>
      <w:r>
        <w:rPr>
          <w:rFonts w:hint="eastAsia"/>
        </w:rPr>
        <w:t>の各要素を用いた重回帰分析の結果</w:t>
      </w:r>
    </w:p>
    <w:p w14:paraId="1F920427" w14:textId="60557716" w:rsidR="008B51B8" w:rsidRDefault="008B51B8" w:rsidP="00B46198">
      <w:pPr>
        <w:rPr>
          <w:rFonts w:hint="eastAsia"/>
        </w:rPr>
      </w:pPr>
      <w:r>
        <w:rPr>
          <w:rFonts w:hint="eastAsia"/>
          <w:noProof/>
        </w:rPr>
        <w:drawing>
          <wp:inline distT="0" distB="0" distL="0" distR="0" wp14:anchorId="20C1730A" wp14:editId="5A5DECE2">
            <wp:extent cx="5388610" cy="3255010"/>
            <wp:effectExtent l="0" t="0" r="0" b="0"/>
            <wp:docPr id="7" name="図 7" descr="Macintosh HD:private:var:folders:k6:z0mp51ns11n70wmjtlbhj81h0000gn:T:TemporaryItems:スクリーンショット 2022-09-11 17.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k6:z0mp51ns11n70wmjtlbhj81h0000gn:T:TemporaryItems:スクリーンショット 2022-09-11 17.57.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3255010"/>
                    </a:xfrm>
                    <a:prstGeom prst="rect">
                      <a:avLst/>
                    </a:prstGeom>
                    <a:noFill/>
                    <a:ln>
                      <a:noFill/>
                    </a:ln>
                  </pic:spPr>
                </pic:pic>
              </a:graphicData>
            </a:graphic>
          </wp:inline>
        </w:drawing>
      </w:r>
    </w:p>
    <w:p w14:paraId="5E79EB5E" w14:textId="77777777" w:rsidR="008B51B8" w:rsidRDefault="008B51B8" w:rsidP="00B46198">
      <w:pPr>
        <w:rPr>
          <w:rFonts w:hint="eastAsia"/>
        </w:rPr>
      </w:pPr>
    </w:p>
    <w:p w14:paraId="05873084" w14:textId="25D81DBC" w:rsidR="0008164D" w:rsidRDefault="0008164D" w:rsidP="0008164D">
      <w:pPr>
        <w:rPr>
          <w:rFonts w:hint="eastAsia"/>
        </w:rPr>
      </w:pPr>
      <w:r>
        <w:rPr>
          <w:rFonts w:hint="eastAsia"/>
        </w:rPr>
        <w:t>上記の結果、先進国市場における</w:t>
      </w:r>
      <w:r>
        <w:t>ESG</w:t>
      </w:r>
      <w:r>
        <w:rPr>
          <w:rFonts w:hint="eastAsia"/>
        </w:rPr>
        <w:t>が</w:t>
      </w:r>
      <w:r>
        <w:t>FCFF</w:t>
      </w:r>
      <w:r>
        <w:rPr>
          <w:rFonts w:hint="eastAsia"/>
        </w:rPr>
        <w:t>に与えるプラス効果は、主に労働力と</w:t>
      </w:r>
      <w:r>
        <w:t>CSR</w:t>
      </w:r>
      <w:r>
        <w:rPr>
          <w:rFonts w:hint="eastAsia"/>
        </w:rPr>
        <w:t>戦略に関わる活動へ</w:t>
      </w:r>
      <w:r w:rsidR="002A3CB2">
        <w:rPr>
          <w:rFonts w:hint="eastAsia"/>
        </w:rPr>
        <w:t>の超過的な</w:t>
      </w:r>
      <w:r>
        <w:rPr>
          <w:rFonts w:hint="eastAsia"/>
        </w:rPr>
        <w:t>支出によってもたらされ、そ</w:t>
      </w:r>
      <w:r w:rsidR="002A3CB2">
        <w:rPr>
          <w:rFonts w:ascii="Menlo Bold" w:hAnsi="Menlo Bold" w:cs="Menlo Bold" w:hint="eastAsia"/>
        </w:rPr>
        <w:t>の</w:t>
      </w:r>
      <w:r>
        <w:rPr>
          <w:rFonts w:hint="eastAsia"/>
        </w:rPr>
        <w:t>係数は正で有意であることが</w:t>
      </w:r>
      <w:r w:rsidR="002A3CB2">
        <w:rPr>
          <w:rFonts w:hint="eastAsia"/>
        </w:rPr>
        <w:t>分かった</w:t>
      </w:r>
      <w:r>
        <w:rPr>
          <w:rFonts w:hint="eastAsia"/>
        </w:rPr>
        <w:t>。</w:t>
      </w:r>
    </w:p>
    <w:p w14:paraId="3B176B49" w14:textId="30841B6D" w:rsidR="0008164D" w:rsidRDefault="004757C0" w:rsidP="004757C0">
      <w:r>
        <w:rPr>
          <w:rFonts w:hint="eastAsia"/>
        </w:rPr>
        <w:t>一方、新興国企業でも</w:t>
      </w:r>
      <w:r w:rsidR="0008164D">
        <w:rPr>
          <w:rFonts w:hint="eastAsia"/>
        </w:rPr>
        <w:t>、</w:t>
      </w:r>
      <w:r w:rsidR="0008164D">
        <w:t>CSR</w:t>
      </w:r>
      <w:r w:rsidR="0008164D">
        <w:rPr>
          <w:rFonts w:hint="eastAsia"/>
        </w:rPr>
        <w:t>戦略</w:t>
      </w:r>
      <w:r>
        <w:rPr>
          <w:rFonts w:hint="eastAsia"/>
        </w:rPr>
        <w:t>に対する追加的な支出が</w:t>
      </w:r>
      <w:r w:rsidR="0008164D">
        <w:rPr>
          <w:rFonts w:hint="eastAsia"/>
        </w:rPr>
        <w:t>、</w:t>
      </w:r>
      <w:r>
        <w:t>FCFF</w:t>
      </w:r>
      <w:r w:rsidR="0008164D">
        <w:rPr>
          <w:rFonts w:hint="eastAsia"/>
        </w:rPr>
        <w:t>にプラス</w:t>
      </w:r>
      <w:r>
        <w:rPr>
          <w:rFonts w:ascii="Menlo Bold" w:hAnsi="Menlo Bold" w:cs="Menlo Bold" w:hint="eastAsia"/>
        </w:rPr>
        <w:t>の</w:t>
      </w:r>
      <w:r>
        <w:rPr>
          <w:rFonts w:hint="eastAsia"/>
        </w:rPr>
        <w:t>影響を与えることがわかった。これは、環境技術や環境設計が施された</w:t>
      </w:r>
      <w:r w:rsidR="0008164D">
        <w:rPr>
          <w:rFonts w:hint="eastAsia"/>
        </w:rPr>
        <w:t>製品を通じて、顧客</w:t>
      </w:r>
      <w:r>
        <w:rPr>
          <w:rFonts w:hint="eastAsia"/>
        </w:rPr>
        <w:t>の</w:t>
      </w:r>
      <w:r w:rsidR="0008164D">
        <w:rPr>
          <w:rFonts w:hint="eastAsia"/>
        </w:rPr>
        <w:t>環境</w:t>
      </w:r>
      <w:r>
        <w:rPr>
          <w:rFonts w:ascii="Menlo Bold" w:hAnsi="Menlo Bold" w:cs="Menlo Bold" w:hint="eastAsia"/>
        </w:rPr>
        <w:t>コスト</w:t>
      </w:r>
      <w:r w:rsidR="0008164D">
        <w:rPr>
          <w:rFonts w:hint="eastAsia"/>
        </w:rPr>
        <w:t>や負担を軽減し、新たな市場機会を創出</w:t>
      </w:r>
      <w:r>
        <w:rPr>
          <w:rFonts w:hint="eastAsia"/>
        </w:rPr>
        <w:t>していると考えられる。</w:t>
      </w:r>
    </w:p>
    <w:p w14:paraId="06477042" w14:textId="77777777" w:rsidR="008B51B8" w:rsidRDefault="008B51B8" w:rsidP="00B46198">
      <w:pPr>
        <w:rPr>
          <w:rFonts w:hint="eastAsia"/>
        </w:rPr>
      </w:pPr>
    </w:p>
    <w:p w14:paraId="571CF465" w14:textId="0CD8B1B1" w:rsidR="004757C0" w:rsidRDefault="004757C0" w:rsidP="004757C0">
      <w:pPr>
        <w:pStyle w:val="1"/>
        <w:rPr>
          <w:rFonts w:hint="eastAsia"/>
        </w:rPr>
      </w:pPr>
      <w:r>
        <w:rPr>
          <w:rFonts w:hint="eastAsia"/>
        </w:rPr>
        <w:t>先行研究５</w:t>
      </w:r>
    </w:p>
    <w:p w14:paraId="70259576" w14:textId="77777777" w:rsidR="004757C0" w:rsidRDefault="004757C0" w:rsidP="00B46198">
      <w:pPr>
        <w:rPr>
          <w:rFonts w:hint="eastAsia"/>
        </w:rPr>
      </w:pPr>
    </w:p>
    <w:p w14:paraId="2C718265" w14:textId="77777777" w:rsidR="00797B59" w:rsidRDefault="00797B59" w:rsidP="00797B59">
      <w:pPr>
        <w:rPr>
          <w:rFonts w:hint="eastAsia"/>
        </w:rPr>
      </w:pPr>
      <w:r>
        <w:rPr>
          <w:rFonts w:hint="eastAsia"/>
        </w:rPr>
        <w:t>本研究は、</w:t>
      </w:r>
      <w:r w:rsidR="00454482">
        <w:rPr>
          <w:rFonts w:hint="eastAsia"/>
        </w:rPr>
        <w:t>ESG</w:t>
      </w:r>
      <w:r>
        <w:rPr>
          <w:rFonts w:hint="eastAsia"/>
        </w:rPr>
        <w:t>における</w:t>
      </w:r>
      <w:r w:rsidR="00454482">
        <w:rPr>
          <w:rFonts w:hint="eastAsia"/>
        </w:rPr>
        <w:t>基礎的</w:t>
      </w:r>
      <w:r>
        <w:rPr>
          <w:rFonts w:hint="eastAsia"/>
        </w:rPr>
        <w:t>な</w:t>
      </w:r>
      <w:r w:rsidR="00454482">
        <w:rPr>
          <w:rFonts w:hint="eastAsia"/>
        </w:rPr>
        <w:t>価値メカニズムを概念化するために、リアルオプション</w:t>
      </w:r>
      <w:r>
        <w:rPr>
          <w:rFonts w:hint="eastAsia"/>
        </w:rPr>
        <w:t>の</w:t>
      </w:r>
      <w:r w:rsidR="00454482">
        <w:rPr>
          <w:rFonts w:hint="eastAsia"/>
        </w:rPr>
        <w:t>アプローチを</w:t>
      </w:r>
      <w:r>
        <w:rPr>
          <w:rFonts w:hint="eastAsia"/>
        </w:rPr>
        <w:t>使用している。</w:t>
      </w:r>
      <w:r w:rsidR="00454482">
        <w:rPr>
          <w:rFonts w:hint="eastAsia"/>
        </w:rPr>
        <w:t>特に、</w:t>
      </w:r>
      <w:r w:rsidR="00454482">
        <w:rPr>
          <w:rFonts w:hint="eastAsia"/>
        </w:rPr>
        <w:t>ESG</w:t>
      </w:r>
      <w:r w:rsidR="00454482">
        <w:rPr>
          <w:rFonts w:hint="eastAsia"/>
        </w:rPr>
        <w:t>パフォーマンスが企業の</w:t>
      </w:r>
      <w:r>
        <w:rPr>
          <w:rFonts w:hint="eastAsia"/>
        </w:rPr>
        <w:t>成長オプション（以下、</w:t>
      </w:r>
      <w:r>
        <w:t>GO</w:t>
      </w:r>
      <w:r>
        <w:rPr>
          <w:rFonts w:hint="eastAsia"/>
        </w:rPr>
        <w:t>）の</w:t>
      </w:r>
      <w:r w:rsidR="00454482">
        <w:rPr>
          <w:rFonts w:hint="eastAsia"/>
        </w:rPr>
        <w:t>価値にどのような影響を与えるのか、また、</w:t>
      </w:r>
      <w:r w:rsidR="00454482">
        <w:rPr>
          <w:rFonts w:hint="eastAsia"/>
        </w:rPr>
        <w:t>ESG</w:t>
      </w:r>
      <w:r w:rsidR="00454482">
        <w:rPr>
          <w:rFonts w:hint="eastAsia"/>
        </w:rPr>
        <w:t>パフォーマンスが</w:t>
      </w:r>
      <w:r w:rsidR="00454482">
        <w:rPr>
          <w:rFonts w:hint="eastAsia"/>
        </w:rPr>
        <w:t>GO</w:t>
      </w:r>
      <w:r w:rsidR="00454482">
        <w:rPr>
          <w:rFonts w:hint="eastAsia"/>
        </w:rPr>
        <w:t>とどのように相互作用して企業の総価値を形成するのかを中心に考察している。</w:t>
      </w:r>
    </w:p>
    <w:p w14:paraId="59CDF764" w14:textId="4435FA99" w:rsidR="00797B59" w:rsidRDefault="00797B59" w:rsidP="00797B59">
      <w:pPr>
        <w:rPr>
          <w:rFonts w:hint="eastAsia"/>
        </w:rPr>
      </w:pPr>
      <w:r>
        <w:rPr>
          <w:rFonts w:hint="eastAsia"/>
        </w:rPr>
        <w:t>ESG</w:t>
      </w:r>
      <w:r>
        <w:rPr>
          <w:rFonts w:hint="eastAsia"/>
        </w:rPr>
        <w:t>パフォーマンスと</w:t>
      </w:r>
      <w:r>
        <w:rPr>
          <w:rFonts w:hint="eastAsia"/>
        </w:rPr>
        <w:t>GO</w:t>
      </w:r>
      <w:r>
        <w:rPr>
          <w:rFonts w:hint="eastAsia"/>
        </w:rPr>
        <w:t>の関係を詳しく説明するために、</w:t>
      </w:r>
      <w:proofErr w:type="spellStart"/>
      <w:r>
        <w:rPr>
          <w:rFonts w:hint="eastAsia"/>
        </w:rPr>
        <w:t>Haans</w:t>
      </w:r>
      <w:proofErr w:type="spellEnd"/>
      <w:r>
        <w:rPr>
          <w:rFonts w:hint="eastAsia"/>
        </w:rPr>
        <w:t>（</w:t>
      </w:r>
      <w:r>
        <w:rPr>
          <w:rFonts w:hint="eastAsia"/>
        </w:rPr>
        <w:t>2016</w:t>
      </w:r>
      <w:r>
        <w:rPr>
          <w:rFonts w:hint="eastAsia"/>
        </w:rPr>
        <w:t>）に従って、その基礎となるメカニズムを明らかにしている。</w:t>
      </w:r>
      <w:r w:rsidRPr="00797B59">
        <w:rPr>
          <w:rFonts w:hint="eastAsia"/>
          <w:color w:val="FF0000"/>
        </w:rPr>
        <w:t>図●</w:t>
      </w:r>
      <w:r>
        <w:rPr>
          <w:rFonts w:hint="eastAsia"/>
        </w:rPr>
        <w:t>では、</w:t>
      </w:r>
      <w:r>
        <w:t>X</w:t>
      </w:r>
      <w:r>
        <w:rPr>
          <w:rFonts w:hint="eastAsia"/>
        </w:rPr>
        <w:t>軸が企業の</w:t>
      </w:r>
      <w:r>
        <w:rPr>
          <w:rFonts w:hint="eastAsia"/>
        </w:rPr>
        <w:t>ESG</w:t>
      </w:r>
      <w:r>
        <w:rPr>
          <w:rFonts w:hint="eastAsia"/>
        </w:rPr>
        <w:t>パフォーマンスを表しており、</w:t>
      </w:r>
      <w:r>
        <w:t>Y</w:t>
      </w:r>
      <w:r>
        <w:rPr>
          <w:rFonts w:hint="eastAsia"/>
        </w:rPr>
        <w:t>軸に</w:t>
      </w:r>
      <w:r>
        <w:rPr>
          <w:rFonts w:hint="eastAsia"/>
        </w:rPr>
        <w:t>GO</w:t>
      </w:r>
      <w:r>
        <w:rPr>
          <w:rFonts w:hint="eastAsia"/>
        </w:rPr>
        <w:t>価値を示しており、</w:t>
      </w:r>
      <w:r>
        <w:t>GO</w:t>
      </w:r>
      <w:r>
        <w:rPr>
          <w:rFonts w:hint="eastAsia"/>
        </w:rPr>
        <w:t>価値を</w:t>
      </w:r>
      <w:r>
        <w:rPr>
          <w:rFonts w:hint="eastAsia"/>
        </w:rPr>
        <w:t>2</w:t>
      </w:r>
      <w:r w:rsidR="006C1D26">
        <w:rPr>
          <w:rFonts w:hint="eastAsia"/>
        </w:rPr>
        <w:t>つに分解している。第一の価値は、企業</w:t>
      </w:r>
      <w:r>
        <w:rPr>
          <w:rFonts w:hint="eastAsia"/>
        </w:rPr>
        <w:t>固有の投資と</w:t>
      </w:r>
      <w:r>
        <w:rPr>
          <w:rFonts w:hint="eastAsia"/>
        </w:rPr>
        <w:t>ESG</w:t>
      </w:r>
      <w:r>
        <w:rPr>
          <w:rFonts w:hint="eastAsia"/>
        </w:rPr>
        <w:t>の実践による「信頼向上効果」を捉えている。</w:t>
      </w:r>
      <w:r>
        <w:rPr>
          <w:rFonts w:hint="eastAsia"/>
        </w:rPr>
        <w:t>GO</w:t>
      </w:r>
      <w:r>
        <w:rPr>
          <w:rFonts w:hint="eastAsia"/>
        </w:rPr>
        <w:t>は、将来の成長のためのプラットフォームであり、企業の</w:t>
      </w:r>
      <w:r>
        <w:rPr>
          <w:rFonts w:hint="eastAsia"/>
        </w:rPr>
        <w:t>GO</w:t>
      </w:r>
      <w:r w:rsidR="006C1D26">
        <w:rPr>
          <w:rFonts w:hint="eastAsia"/>
        </w:rPr>
        <w:t>の価値</w:t>
      </w:r>
      <w:r>
        <w:rPr>
          <w:rFonts w:hint="eastAsia"/>
        </w:rPr>
        <w:t>は、</w:t>
      </w:r>
      <w:r w:rsidR="006C1D26">
        <w:rPr>
          <w:rFonts w:hint="eastAsia"/>
        </w:rPr>
        <w:t>企業が行う様々な特定の逐次投資に起因している。それらのほとんどが無形資産（例えば、知財や</w:t>
      </w:r>
      <w:r>
        <w:rPr>
          <w:rFonts w:hint="eastAsia"/>
        </w:rPr>
        <w:t>ブランドイメージ）に結びついた</w:t>
      </w:r>
      <w:r w:rsidR="006C1D26">
        <w:rPr>
          <w:rFonts w:hint="eastAsia"/>
        </w:rPr>
        <w:t>もので、他社に展開できるようなものではない。</w:t>
      </w:r>
      <w:r>
        <w:rPr>
          <w:rFonts w:hint="eastAsia"/>
        </w:rPr>
        <w:t>ESG</w:t>
      </w:r>
      <w:r>
        <w:rPr>
          <w:rFonts w:hint="eastAsia"/>
        </w:rPr>
        <w:t>の実践は、社会資本を蓄積し、企業への愛着を強めることでステークホルダーの信頼を高めることができる</w:t>
      </w:r>
      <w:r w:rsidR="006C1D26">
        <w:rPr>
          <w:rFonts w:hint="eastAsia"/>
        </w:rPr>
        <w:t>ため、</w:t>
      </w:r>
      <w:r>
        <w:rPr>
          <w:rFonts w:hint="eastAsia"/>
        </w:rPr>
        <w:t>結果として、企業の</w:t>
      </w:r>
      <w:r>
        <w:rPr>
          <w:rFonts w:hint="eastAsia"/>
        </w:rPr>
        <w:t>ESG</w:t>
      </w:r>
      <w:r>
        <w:rPr>
          <w:rFonts w:hint="eastAsia"/>
        </w:rPr>
        <w:t>パフォーマンスが高ければ高いほど、その</w:t>
      </w:r>
      <w:r>
        <w:rPr>
          <w:rFonts w:hint="eastAsia"/>
        </w:rPr>
        <w:t>GO</w:t>
      </w:r>
      <w:r>
        <w:rPr>
          <w:rFonts w:hint="eastAsia"/>
        </w:rPr>
        <w:t>価値は高くなる。</w:t>
      </w:r>
      <w:r w:rsidR="007C26E0">
        <w:rPr>
          <w:rFonts w:hint="eastAsia"/>
        </w:rPr>
        <w:t>第二の</w:t>
      </w:r>
      <w:r w:rsidR="006C1D26">
        <w:rPr>
          <w:rFonts w:hint="eastAsia"/>
        </w:rPr>
        <w:t>価値は、オプション価値に対するリスク低減効果</w:t>
      </w:r>
      <w:r w:rsidR="007C26E0">
        <w:rPr>
          <w:rFonts w:hint="eastAsia"/>
        </w:rPr>
        <w:t>を表している。</w:t>
      </w:r>
      <w:r>
        <w:rPr>
          <w:rFonts w:hint="eastAsia"/>
        </w:rPr>
        <w:t>多くの研究が</w:t>
      </w:r>
      <w:r w:rsidR="007C26E0">
        <w:rPr>
          <w:rFonts w:hint="eastAsia"/>
        </w:rPr>
        <w:t>、企業</w:t>
      </w:r>
      <w:r>
        <w:rPr>
          <w:rFonts w:hint="eastAsia"/>
        </w:rPr>
        <w:t>のリスクを軽減し、潜在的なショックに対して財務パフォーマンスを維持するセーフティネットを提供する手段としての</w:t>
      </w:r>
      <w:r>
        <w:rPr>
          <w:rFonts w:hint="eastAsia"/>
        </w:rPr>
        <w:t>ESG</w:t>
      </w:r>
      <w:r>
        <w:rPr>
          <w:rFonts w:hint="eastAsia"/>
        </w:rPr>
        <w:t>パフォーマンスの考えを支持している</w:t>
      </w:r>
      <w:r w:rsidR="007C26E0">
        <w:rPr>
          <w:rFonts w:hint="eastAsia"/>
        </w:rPr>
        <w:t>。</w:t>
      </w:r>
      <w:r>
        <w:rPr>
          <w:rFonts w:hint="eastAsia"/>
        </w:rPr>
        <w:t>このようなリ</w:t>
      </w:r>
      <w:r w:rsidR="007C26E0">
        <w:rPr>
          <w:rFonts w:hint="eastAsia"/>
        </w:rPr>
        <w:t>スク低減効果は、原資産のボラティリティが低いと</w:t>
      </w:r>
      <w:r>
        <w:rPr>
          <w:rFonts w:hint="eastAsia"/>
        </w:rPr>
        <w:t>オプションの価値が低下するのと同じ理由で、企業の</w:t>
      </w:r>
      <w:r>
        <w:rPr>
          <w:rFonts w:hint="eastAsia"/>
        </w:rPr>
        <w:t>GO</w:t>
      </w:r>
      <w:r>
        <w:rPr>
          <w:rFonts w:hint="eastAsia"/>
        </w:rPr>
        <w:t>価値</w:t>
      </w:r>
      <w:r w:rsidRPr="00797B59">
        <w:rPr>
          <w:rFonts w:hint="eastAsia"/>
        </w:rPr>
        <w:t>を低下させると考えられる</w:t>
      </w:r>
      <w:r>
        <w:rPr>
          <w:rFonts w:hint="eastAsia"/>
        </w:rPr>
        <w:t>。</w:t>
      </w:r>
      <w:r w:rsidRPr="00797B59">
        <w:rPr>
          <w:rFonts w:hint="eastAsia"/>
        </w:rPr>
        <w:t>結果として、企業の</w:t>
      </w:r>
      <w:r w:rsidRPr="00797B59">
        <w:rPr>
          <w:rFonts w:hint="eastAsia"/>
        </w:rPr>
        <w:t>ESG</w:t>
      </w:r>
      <w:r w:rsidRPr="00797B59">
        <w:rPr>
          <w:rFonts w:hint="eastAsia"/>
        </w:rPr>
        <w:t>パフォーマンスが高いほど、企業の</w:t>
      </w:r>
      <w:r w:rsidR="007C26E0">
        <w:rPr>
          <w:rFonts w:hint="eastAsia"/>
        </w:rPr>
        <w:t>GO</w:t>
      </w:r>
      <w:r w:rsidRPr="00797B59">
        <w:rPr>
          <w:rFonts w:hint="eastAsia"/>
        </w:rPr>
        <w:t>価値は低くなる。</w:t>
      </w:r>
      <w:r>
        <w:rPr>
          <w:rFonts w:hint="eastAsia"/>
        </w:rPr>
        <w:t>この</w:t>
      </w:r>
      <w:r>
        <w:rPr>
          <w:rFonts w:hint="eastAsia"/>
        </w:rPr>
        <w:t>2</w:t>
      </w:r>
      <w:r>
        <w:rPr>
          <w:rFonts w:hint="eastAsia"/>
        </w:rPr>
        <w:t>つの相反するメカニズムを同時に考慮すると、</w:t>
      </w:r>
      <w:r w:rsidRPr="007C26E0">
        <w:rPr>
          <w:rFonts w:hint="eastAsia"/>
          <w:color w:val="FF0000"/>
        </w:rPr>
        <w:t>図</w:t>
      </w:r>
      <w:r w:rsidRPr="007C26E0">
        <w:rPr>
          <w:rFonts w:hint="eastAsia"/>
          <w:color w:val="FF0000"/>
        </w:rPr>
        <w:t>1</w:t>
      </w:r>
      <w:r w:rsidR="007C26E0">
        <w:rPr>
          <w:rFonts w:hint="eastAsia"/>
        </w:rPr>
        <w:t>に示す通り</w:t>
      </w:r>
      <w:r>
        <w:rPr>
          <w:rFonts w:hint="eastAsia"/>
        </w:rPr>
        <w:t>、企業の</w:t>
      </w:r>
      <w:r>
        <w:rPr>
          <w:rFonts w:hint="eastAsia"/>
        </w:rPr>
        <w:t>ESG</w:t>
      </w:r>
      <w:r>
        <w:rPr>
          <w:rFonts w:hint="eastAsia"/>
        </w:rPr>
        <w:t>パフォーマンスと</w:t>
      </w:r>
      <w:r>
        <w:rPr>
          <w:rFonts w:hint="eastAsia"/>
        </w:rPr>
        <w:t>GO</w:t>
      </w:r>
      <w:r>
        <w:rPr>
          <w:rFonts w:hint="eastAsia"/>
        </w:rPr>
        <w:t>価値の間に</w:t>
      </w:r>
      <w:r w:rsidR="007C26E0">
        <w:rPr>
          <w:rFonts w:hint="eastAsia"/>
        </w:rPr>
        <w:t>は</w:t>
      </w:r>
      <w:r>
        <w:rPr>
          <w:rFonts w:hint="eastAsia"/>
        </w:rPr>
        <w:t>逆</w:t>
      </w:r>
      <w:r>
        <w:rPr>
          <w:rFonts w:hint="eastAsia"/>
        </w:rPr>
        <w:t>U</w:t>
      </w:r>
      <w:r>
        <w:rPr>
          <w:rFonts w:hint="eastAsia"/>
        </w:rPr>
        <w:t>字型の関係が生じる</w:t>
      </w:r>
      <w:r w:rsidR="007C26E0">
        <w:rPr>
          <w:rFonts w:hint="eastAsia"/>
        </w:rPr>
        <w:t>ことを示すことになり、仮説を立てている。</w:t>
      </w:r>
    </w:p>
    <w:p w14:paraId="73E84A04" w14:textId="419F5AEC" w:rsidR="00797B59" w:rsidRDefault="007C26E0" w:rsidP="00797B59">
      <w:pPr>
        <w:rPr>
          <w:rFonts w:hint="eastAsia"/>
        </w:rPr>
      </w:pPr>
      <w:r>
        <w:rPr>
          <w:rFonts w:hint="eastAsia"/>
        </w:rPr>
        <w:t xml:space="preserve">　分析には、</w:t>
      </w:r>
      <w:r w:rsidR="00797B59" w:rsidRPr="00454482">
        <w:rPr>
          <w:rFonts w:hint="eastAsia"/>
        </w:rPr>
        <w:t>2009</w:t>
      </w:r>
      <w:r w:rsidR="00797B59" w:rsidRPr="00454482">
        <w:rPr>
          <w:rFonts w:hint="eastAsia"/>
        </w:rPr>
        <w:t>年～</w:t>
      </w:r>
      <w:r w:rsidR="00797B59" w:rsidRPr="00454482">
        <w:rPr>
          <w:rFonts w:hint="eastAsia"/>
        </w:rPr>
        <w:t>2018</w:t>
      </w:r>
      <w:r>
        <w:rPr>
          <w:rFonts w:hint="eastAsia"/>
        </w:rPr>
        <w:t>年の米国上場企業について、</w:t>
      </w:r>
      <w:proofErr w:type="spellStart"/>
      <w:r>
        <w:t>Eikon</w:t>
      </w:r>
      <w:proofErr w:type="spellEnd"/>
      <w:r>
        <w:rPr>
          <w:rFonts w:hint="eastAsia"/>
        </w:rPr>
        <w:t>を使ってデータを収集している。</w:t>
      </w:r>
      <w:r w:rsidR="002B048F">
        <w:rPr>
          <w:rFonts w:hint="eastAsia"/>
        </w:rPr>
        <w:t>ここでは</w:t>
      </w:r>
      <w:r w:rsidR="002B048F">
        <w:t>GO</w:t>
      </w:r>
      <w:r w:rsidR="002B048F">
        <w:rPr>
          <w:rFonts w:hint="eastAsia"/>
        </w:rPr>
        <w:t>価値を、当期純利益を資本コストで割り引いた現在価値として扱い、以下の重回帰モデルを使用している。</w:t>
      </w:r>
    </w:p>
    <w:p w14:paraId="316C6C12" w14:textId="77777777" w:rsidR="00797B59" w:rsidRDefault="00797B59" w:rsidP="00797B59"/>
    <w:p w14:paraId="1F986AA6" w14:textId="01C73948" w:rsidR="002B048F" w:rsidRPr="00E843A0" w:rsidRDefault="002B048F" w:rsidP="002B048F">
      <m:oMathPara>
        <m:oMath>
          <m:sSub>
            <m:sSubPr>
              <m:ctrlPr>
                <w:rPr>
                  <w:rFonts w:ascii="Cambria Math" w:hAnsi="Cambria Math"/>
                  <w:i/>
                </w:rPr>
              </m:ctrlPr>
            </m:sSubPr>
            <m:e>
              <m:r>
                <w:rPr>
                  <w:rFonts w:ascii="Cambria Math" w:hAnsi="Cambria Math"/>
                </w:rPr>
                <m:t>GOR</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ESGindex</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ESGindex</m:t>
              </m:r>
            </m:e>
            <m:sub>
              <m:r>
                <w:rPr>
                  <w:rFonts w:ascii="Cambria Math" w:hAnsi="Cambria Math"/>
                </w:rPr>
                <m:t>i,t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ASSETS</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DEBT</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AGE</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RIVAL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dumINDUSTRY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dumYEAR</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630FE59B" w14:textId="77777777" w:rsidR="00797B59" w:rsidRDefault="00797B59" w:rsidP="002B048F"/>
    <w:p w14:paraId="5AF7A828" w14:textId="6181E52D" w:rsidR="003B26A6" w:rsidRDefault="003B26A6" w:rsidP="002B048F">
      <w:pPr>
        <w:rPr>
          <w:rFonts w:hint="eastAsia"/>
        </w:rPr>
      </w:pPr>
      <m:oMath>
        <m:r>
          <w:rPr>
            <w:rFonts w:ascii="Cambria Math" w:hAnsi="Cambria Math"/>
          </w:rPr>
          <m:t>ESGindex</m:t>
        </m:r>
      </m:oMath>
      <w:r>
        <w:rPr>
          <w:rFonts w:hint="eastAsia"/>
        </w:rPr>
        <w:t>は、トムソン</w:t>
      </w:r>
      <w:r w:rsidR="00DF2162">
        <w:rPr>
          <w:rFonts w:hint="eastAsia"/>
        </w:rPr>
        <w:t>・</w:t>
      </w:r>
      <w:r>
        <w:rPr>
          <w:rFonts w:hint="eastAsia"/>
        </w:rPr>
        <w:t>ロイターの</w:t>
      </w:r>
      <w:r>
        <w:t>ESG</w:t>
      </w:r>
      <w:r>
        <w:rPr>
          <w:rFonts w:hint="eastAsia"/>
        </w:rPr>
        <w:t>スコア、その他のコントール変数として、企業規模、レバレッジ、企業年齢、産業の競争力を設定している。なお、</w:t>
      </w:r>
      <m:oMath>
        <m:r>
          <w:rPr>
            <w:rFonts w:ascii="Cambria Math" w:hAnsi="Cambria Math"/>
          </w:rPr>
          <m:t>i</m:t>
        </m:r>
      </m:oMath>
      <w:r>
        <w:rPr>
          <w:rFonts w:hint="eastAsia"/>
        </w:rPr>
        <w:t>は企業、</w:t>
      </w:r>
      <m:oMath>
        <m:r>
          <w:rPr>
            <w:rFonts w:ascii="Cambria Math" w:hAnsi="Cambria Math"/>
          </w:rPr>
          <m:t>t</m:t>
        </m:r>
      </m:oMath>
      <w:r>
        <w:rPr>
          <w:rFonts w:hint="eastAsia"/>
        </w:rPr>
        <w:t>は年、</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Pr>
          <w:rFonts w:hint="eastAsia"/>
        </w:rPr>
        <w:t>は誤差項を表している。</w:t>
      </w:r>
    </w:p>
    <w:p w14:paraId="4F41CE48" w14:textId="77777777" w:rsidR="00DF2162" w:rsidRDefault="00DF2162" w:rsidP="002B048F">
      <w:pPr>
        <w:rPr>
          <w:rFonts w:hint="eastAsia"/>
        </w:rPr>
      </w:pPr>
    </w:p>
    <w:p w14:paraId="600E3015" w14:textId="77777777" w:rsidR="00DF2162" w:rsidRDefault="00DF2162" w:rsidP="002B048F">
      <w:pPr>
        <w:rPr>
          <w:rFonts w:hint="eastAsia"/>
        </w:rPr>
      </w:pPr>
    </w:p>
    <w:p w14:paraId="1B579263" w14:textId="5634EED3" w:rsidR="00DF2162" w:rsidRDefault="00DF2162" w:rsidP="00DF2162">
      <w:pPr>
        <w:pStyle w:val="a6"/>
        <w:jc w:val="center"/>
        <w:rPr>
          <w:rFonts w:hint="eastAsia"/>
        </w:rP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t>GO</w:t>
      </w:r>
      <w:r>
        <w:rPr>
          <w:rFonts w:hint="eastAsia"/>
        </w:rPr>
        <w:t>価値と</w:t>
      </w:r>
      <w:r>
        <w:t>ESG</w:t>
      </w:r>
      <w:r>
        <w:rPr>
          <w:rFonts w:hint="eastAsia"/>
        </w:rPr>
        <w:t>パフォーマンスに関する重回帰分析の結果</w:t>
      </w:r>
    </w:p>
    <w:p w14:paraId="2A937F51" w14:textId="7EBB03F1" w:rsidR="00DF2162" w:rsidRDefault="00DF2162" w:rsidP="002B048F">
      <w:pPr>
        <w:rPr>
          <w:rFonts w:hint="eastAsia"/>
        </w:rPr>
      </w:pPr>
      <w:r>
        <w:rPr>
          <w:rFonts w:hint="eastAsia"/>
          <w:noProof/>
        </w:rPr>
        <w:drawing>
          <wp:inline distT="0" distB="0" distL="0" distR="0" wp14:anchorId="3A78F754" wp14:editId="30246171">
            <wp:extent cx="5388610" cy="5334000"/>
            <wp:effectExtent l="0" t="0" r="0" b="0"/>
            <wp:docPr id="8" name="図 8" descr="Macintosh HD:private:var:folders:k6:z0mp51ns11n70wmjtlbhj81h0000gn:T:TemporaryItems:スクリーンショット 2022-09-12 7.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k6:z0mp51ns11n70wmjtlbhj81h0000gn:T:TemporaryItems:スクリーンショット 2022-09-12 7.45.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610" cy="5334000"/>
                    </a:xfrm>
                    <a:prstGeom prst="rect">
                      <a:avLst/>
                    </a:prstGeom>
                    <a:noFill/>
                    <a:ln>
                      <a:noFill/>
                    </a:ln>
                  </pic:spPr>
                </pic:pic>
              </a:graphicData>
            </a:graphic>
          </wp:inline>
        </w:drawing>
      </w:r>
    </w:p>
    <w:p w14:paraId="679327DD" w14:textId="77777777" w:rsidR="00DF2162" w:rsidRDefault="00DF2162" w:rsidP="002B048F">
      <w:pPr>
        <w:rPr>
          <w:rFonts w:hint="eastAsia"/>
        </w:rPr>
      </w:pPr>
    </w:p>
    <w:p w14:paraId="5AEADC1D" w14:textId="6FC8C437" w:rsidR="006E3D71" w:rsidRPr="00473CC6" w:rsidRDefault="006E3D71" w:rsidP="006E3D71">
      <w:r>
        <w:rPr>
          <w:rFonts w:hint="eastAsia"/>
        </w:rPr>
        <w:t>ベースラインの分析結果、</w:t>
      </w:r>
      <w:proofErr w:type="spellStart"/>
      <w:r>
        <w:rPr>
          <w:rFonts w:hint="eastAsia"/>
        </w:rPr>
        <w:t>ESGindex</w:t>
      </w:r>
      <w:proofErr w:type="spellEnd"/>
      <w:r>
        <w:rPr>
          <w:rFonts w:hint="eastAsia"/>
        </w:rPr>
        <w:t>の</w:t>
      </w:r>
      <w:r>
        <w:rPr>
          <w:rFonts w:hint="eastAsia"/>
        </w:rPr>
        <w:t xml:space="preserve">GOR </w:t>
      </w:r>
      <w:r>
        <w:rPr>
          <w:rFonts w:hint="eastAsia"/>
        </w:rPr>
        <w:t>への影響は正で有意であった。このことから、</w:t>
      </w:r>
      <w:r>
        <w:t>ESG</w:t>
      </w:r>
      <w:r>
        <w:rPr>
          <w:rFonts w:hint="eastAsia"/>
        </w:rPr>
        <w:t>パフォーマンスは</w:t>
      </w:r>
      <w:r>
        <w:t>GO</w:t>
      </w:r>
      <w:r>
        <w:rPr>
          <w:rFonts w:hint="eastAsia"/>
        </w:rPr>
        <w:t>価値へのプラスの影響があることが支持された。一方、</w:t>
      </w:r>
      <w:r>
        <w:rPr>
          <w:rFonts w:hint="eastAsia"/>
        </w:rPr>
        <w:t>2</w:t>
      </w:r>
      <w:r>
        <w:rPr>
          <w:rFonts w:hint="eastAsia"/>
        </w:rPr>
        <w:t>次の項を見ると、有意な負の結果を得ていることから、</w:t>
      </w:r>
      <w:r>
        <w:t>ESG</w:t>
      </w:r>
      <w:r>
        <w:rPr>
          <w:rFonts w:hint="eastAsia"/>
        </w:rPr>
        <w:t>パフォーマンスと</w:t>
      </w:r>
      <w:r>
        <w:t>GO</w:t>
      </w:r>
      <w:r>
        <w:rPr>
          <w:rFonts w:hint="eastAsia"/>
        </w:rPr>
        <w:t>価値の間には</w:t>
      </w:r>
      <w:r>
        <w:rPr>
          <w:rFonts w:hint="eastAsia"/>
        </w:rPr>
        <w:t>U</w:t>
      </w:r>
      <w:r>
        <w:rPr>
          <w:rFonts w:hint="eastAsia"/>
        </w:rPr>
        <w:t>字型の関係が示唆された。</w:t>
      </w:r>
    </w:p>
    <w:p w14:paraId="136D381B" w14:textId="133884D6" w:rsidR="00DF2162" w:rsidRDefault="00DF2162" w:rsidP="006E3D71">
      <w:pPr>
        <w:rPr>
          <w:rFonts w:hint="eastAsia"/>
        </w:rPr>
      </w:pPr>
    </w:p>
    <w:p w14:paraId="1AC5CC12" w14:textId="77777777" w:rsidR="0088572D" w:rsidRDefault="0088572D" w:rsidP="006E3D71">
      <w:pPr>
        <w:rPr>
          <w:rFonts w:hint="eastAsia"/>
        </w:rPr>
      </w:pPr>
    </w:p>
    <w:p w14:paraId="313288FC" w14:textId="650A0DD8" w:rsidR="0088572D" w:rsidRDefault="0088572D" w:rsidP="0088572D">
      <w:pPr>
        <w:pStyle w:val="1"/>
        <w:rPr>
          <w:rFonts w:hint="eastAsia"/>
        </w:rPr>
      </w:pPr>
      <w:r>
        <w:rPr>
          <w:rFonts w:hint="eastAsia"/>
        </w:rPr>
        <w:t>先行研究６</w:t>
      </w:r>
    </w:p>
    <w:p w14:paraId="4DC208AF" w14:textId="77777777" w:rsidR="0088572D" w:rsidRDefault="0088572D" w:rsidP="006E3D71"/>
    <w:p w14:paraId="122B3255" w14:textId="0063AE93" w:rsidR="00047C9A" w:rsidRDefault="00047C9A" w:rsidP="006E3D71">
      <w:pPr>
        <w:rPr>
          <w:rFonts w:hint="eastAsia"/>
        </w:rPr>
      </w:pPr>
      <w:r>
        <w:rPr>
          <w:rFonts w:hint="eastAsia"/>
        </w:rPr>
        <w:t>ミスバリュエーションの指標として、以下のように</w:t>
      </w:r>
      <w:r w:rsidR="00804DA9">
        <w:rPr>
          <w:rFonts w:hint="eastAsia"/>
        </w:rPr>
        <w:t>2</w:t>
      </w:r>
      <w:r w:rsidR="00804DA9">
        <w:rPr>
          <w:rFonts w:hint="eastAsia"/>
        </w:rPr>
        <w:t>つ</w:t>
      </w:r>
      <w:r>
        <w:rPr>
          <w:rFonts w:hint="eastAsia"/>
        </w:rPr>
        <w:t>定義している。</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oMath>
      <w:r>
        <w:rPr>
          <w:rFonts w:hint="eastAsia"/>
        </w:rPr>
        <w:t>は、</w:t>
      </w:r>
      <m:oMath>
        <m:r>
          <w:rPr>
            <w:rFonts w:ascii="Cambria Math" w:hAnsi="Cambria Math"/>
          </w:rPr>
          <m:t>t</m:t>
        </m:r>
      </m:oMath>
      <w:r>
        <w:rPr>
          <w:rFonts w:hint="eastAsia"/>
        </w:rPr>
        <w:t>時点における企業</w:t>
      </w:r>
      <m:oMath>
        <m:r>
          <w:rPr>
            <w:rFonts w:ascii="Cambria Math" w:hAnsi="Cambria Math"/>
          </w:rPr>
          <m:t>i</m:t>
        </m:r>
      </m:oMath>
      <w:r>
        <w:rPr>
          <w:rFonts w:hint="eastAsia"/>
        </w:rPr>
        <w:t>の</w:t>
      </w:r>
      <w:r w:rsidR="00804DA9">
        <w:rPr>
          <w:rFonts w:hint="eastAsia"/>
        </w:rPr>
        <w:t>負債等も含めて</w:t>
      </w:r>
      <w:r>
        <w:rPr>
          <w:rFonts w:hint="eastAsia"/>
        </w:rPr>
        <w:t>時価総額、</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m:t>
        </m:r>
      </m:oMath>
      <w:r w:rsidR="00804DA9">
        <w:rPr>
          <w:rFonts w:hint="eastAsia"/>
        </w:rPr>
        <w:t>は株式時価総額、</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は残余利益モデルにおける企業価値とし、その比をミスバリュエーションの尺度として変数を構築している。</w:t>
      </w:r>
    </w:p>
    <w:p w14:paraId="27D40D06" w14:textId="24DEA003" w:rsidR="0088572D" w:rsidRPr="00804DA9" w:rsidRDefault="00047C9A" w:rsidP="006E3D71">
      <w:pPr>
        <w:rPr>
          <w:rFonts w:hint="eastAsia"/>
        </w:rPr>
      </w:pPr>
      <m:oMathPara>
        <m:oMath>
          <m:sSubSup>
            <m:sSubSupPr>
              <m:ctrlPr>
                <w:rPr>
                  <w:rFonts w:ascii="Cambria Math" w:hAnsi="Cambria Math"/>
                  <w:i/>
                </w:rPr>
              </m:ctrlPr>
            </m:sSubSupPr>
            <m:e>
              <m:r>
                <w:rPr>
                  <w:rFonts w:ascii="Cambria Math" w:hAnsi="Cambria Math"/>
                </w:rPr>
                <m:t>RES</m:t>
              </m:r>
            </m:e>
            <m:sub>
              <m:r>
                <w:rPr>
                  <w:rFonts w:ascii="Cambria Math" w:hAnsi="Cambria Math"/>
                </w:rPr>
                <m:t>i</m:t>
              </m:r>
            </m:sub>
            <m:sup>
              <m:r>
                <w:rPr>
                  <w:rFonts w:ascii="Cambria Math" w:hAnsi="Cambria Math"/>
                </w:rPr>
                <m:t>MSV</m:t>
              </m:r>
            </m:sup>
          </m:sSubSup>
          <m:r>
            <w:rPr>
              <w:rFonts w:ascii="Cambria Math" w:hAnsi="Cambria Math"/>
            </w:rPr>
            <m:t xml:space="preserve">(t) =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oMath>
      </m:oMathPara>
    </w:p>
    <w:p w14:paraId="67232B48" w14:textId="6FBBB294" w:rsidR="00804DA9" w:rsidRPr="00047C9A" w:rsidRDefault="00804DA9" w:rsidP="00804DA9">
      <m:oMathPara>
        <m:oMath>
          <m:sSubSup>
            <m:sSubSupPr>
              <m:ctrlPr>
                <w:rPr>
                  <w:rFonts w:ascii="Cambria Math" w:hAnsi="Cambria Math"/>
                  <w:i/>
                </w:rPr>
              </m:ctrlPr>
            </m:sSubSupPr>
            <m:e>
              <m:r>
                <w:rPr>
                  <w:rFonts w:ascii="Cambria Math" w:hAnsi="Cambria Math"/>
                </w:rPr>
                <m:t>RRV</m:t>
              </m:r>
            </m:e>
            <m:sub>
              <m:r>
                <w:rPr>
                  <w:rFonts w:ascii="Cambria Math" w:hAnsi="Cambria Math"/>
                </w:rPr>
                <m:t>i</m:t>
              </m:r>
            </m:sub>
            <m:sup>
              <m:r>
                <w:rPr>
                  <w:rFonts w:ascii="Cambria Math" w:hAnsi="Cambria Math"/>
                </w:rPr>
                <m:t>MSV</m:t>
              </m:r>
            </m:sup>
          </m:sSubSup>
          <m:r>
            <w:rPr>
              <w:rFonts w:ascii="Cambria Math" w:hAnsi="Cambria Math"/>
            </w:rPr>
            <m:t xml:space="preserve">(t)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oMath>
      </m:oMathPara>
    </w:p>
    <w:p w14:paraId="473EA0C8" w14:textId="77777777" w:rsidR="00804DA9" w:rsidRPr="00047C9A" w:rsidRDefault="00804DA9" w:rsidP="006E3D71">
      <w:pPr>
        <w:rPr>
          <w:rFonts w:hint="eastAsia"/>
        </w:rPr>
      </w:pPr>
    </w:p>
    <w:p w14:paraId="0BAD4B37" w14:textId="2F7FF638" w:rsidR="00047C9A" w:rsidRDefault="00804DA9" w:rsidP="006E3D71">
      <w:pPr>
        <w:rPr>
          <w:rFonts w:hint="eastAsia"/>
        </w:rPr>
      </w:pPr>
      <w:r>
        <w:rPr>
          <w:rFonts w:hint="eastAsia"/>
        </w:rPr>
        <w:t>これらの変数を使用して、以下のような重回帰分析のモデルを使用して分析を行っている。</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633C6D">
        <w:rPr>
          <w:rFonts w:hint="eastAsia"/>
        </w:rPr>
        <w:t>は、ミスバリュエーションの指標、</w:t>
      </w:r>
      <m:oMath>
        <m:sSub>
          <m:sSubPr>
            <m:ctrlPr>
              <w:rPr>
                <w:rFonts w:ascii="Cambria Math" w:hAnsi="Cambria Math"/>
                <w:i/>
              </w:rPr>
            </m:ctrlPr>
          </m:sSubPr>
          <m:e>
            <m:r>
              <w:rPr>
                <w:rFonts w:ascii="Cambria Math" w:hAnsi="Cambria Math"/>
              </w:rPr>
              <m:t>ESG</m:t>
            </m:r>
          </m:e>
          <m:sub>
            <m:r>
              <w:rPr>
                <w:rFonts w:ascii="Cambria Math" w:hAnsi="Cambria Math"/>
              </w:rPr>
              <m:t>i,t-1</m:t>
            </m:r>
          </m:sub>
        </m:sSub>
      </m:oMath>
      <w:r w:rsidR="00633C6D">
        <w:rPr>
          <w:rFonts w:hint="eastAsia"/>
        </w:rPr>
        <w:t>は１期ラグ付きの</w:t>
      </w:r>
      <w:r w:rsidR="00633C6D">
        <w:t>ESG</w:t>
      </w:r>
      <w:r w:rsidR="00633C6D">
        <w:rPr>
          <w:rFonts w:hint="eastAsia"/>
        </w:rPr>
        <w:t>スコア、</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sidR="00633C6D">
        <w:rPr>
          <w:rFonts w:hint="eastAsia"/>
        </w:rPr>
        <w:t>は</w:t>
      </w:r>
      <w:r w:rsidR="00633C6D">
        <w:t>ROA</w:t>
      </w:r>
      <w:r w:rsidR="00633C6D">
        <w:rPr>
          <w:rFonts w:hint="eastAsia"/>
        </w:rPr>
        <w:t>、資本支出、アナリストカバレッジ数、株価のボラティリティ、レバレッジ比率、簿価時価比率を使用している。なお、</w:t>
      </w:r>
      <m:oMath>
        <m:r>
          <w:rPr>
            <w:rFonts w:ascii="Cambria Math" w:hAnsi="Cambria Math"/>
          </w:rPr>
          <m:t>i</m:t>
        </m:r>
      </m:oMath>
      <w:r w:rsidR="00633C6D">
        <w:rPr>
          <w:rFonts w:hint="eastAsia"/>
        </w:rPr>
        <w:t>は企業、</w:t>
      </w:r>
      <m:oMath>
        <m:r>
          <w:rPr>
            <w:rFonts w:ascii="Cambria Math" w:hAnsi="Cambria Math"/>
          </w:rPr>
          <m:t>t</m:t>
        </m:r>
      </m:oMath>
      <w:r w:rsidR="00633C6D">
        <w:rPr>
          <w:rFonts w:hint="eastAsia"/>
        </w:rPr>
        <w:t>は年、</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633C6D">
        <w:rPr>
          <w:rFonts w:hint="eastAsia"/>
        </w:rPr>
        <w:t>は誤差項を表している。</w:t>
      </w:r>
    </w:p>
    <w:p w14:paraId="265E9203" w14:textId="77777777" w:rsidR="00804DA9" w:rsidRDefault="00804DA9" w:rsidP="006E3D71">
      <w:pPr>
        <w:rPr>
          <w:rFonts w:hint="eastAsia"/>
        </w:rPr>
      </w:pPr>
    </w:p>
    <w:p w14:paraId="6CD7760D" w14:textId="20125C2A" w:rsidR="00804DA9" w:rsidRPr="00E843A0" w:rsidRDefault="00804DA9" w:rsidP="00804DA9">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ESG</m:t>
              </m:r>
            </m:e>
            <m:sub>
              <m:r>
                <w:rPr>
                  <w:rFonts w:ascii="Cambria Math" w:hAnsi="Cambria Math"/>
                </w:rPr>
                <m:t>i,t-1</m:t>
              </m:r>
            </m:sub>
          </m:sSub>
          <m: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742E153A" w14:textId="77777777" w:rsidR="00804DA9" w:rsidRDefault="00804DA9" w:rsidP="00804DA9">
      <w:pPr>
        <w:rPr>
          <w:rFonts w:hint="eastAsia"/>
        </w:rPr>
      </w:pPr>
    </w:p>
    <w:p w14:paraId="7D83A95D" w14:textId="77777777" w:rsidR="00633C6D" w:rsidRDefault="00633C6D" w:rsidP="00804DA9">
      <w:pPr>
        <w:rPr>
          <w:rFonts w:hint="eastAsia"/>
        </w:rPr>
      </w:pPr>
    </w:p>
    <w:p w14:paraId="3F054CF8" w14:textId="4DD1DBA0" w:rsidR="00633C6D" w:rsidRDefault="00633C6D" w:rsidP="00804DA9">
      <w:pPr>
        <w:rPr>
          <w:rFonts w:hint="eastAsia"/>
        </w:rPr>
      </w:pPr>
      <w:r>
        <w:rPr>
          <w:rFonts w:hint="eastAsia"/>
          <w:noProof/>
        </w:rPr>
        <w:drawing>
          <wp:inline distT="0" distB="0" distL="0" distR="0" wp14:anchorId="0317CE39" wp14:editId="04BFD16C">
            <wp:extent cx="5388610" cy="4441190"/>
            <wp:effectExtent l="0" t="0" r="0" b="3810"/>
            <wp:docPr id="9" name="図 9" descr="Macintosh HD:private:var:folders:k6:z0mp51ns11n70wmjtlbhj81h0000gn:T:TemporaryItems:スクリーンショット 2022-09-12 8.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k6:z0mp51ns11n70wmjtlbhj81h0000gn:T:TemporaryItems:スクリーンショット 2022-09-12 8.23.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610" cy="4441190"/>
                    </a:xfrm>
                    <a:prstGeom prst="rect">
                      <a:avLst/>
                    </a:prstGeom>
                    <a:noFill/>
                    <a:ln>
                      <a:noFill/>
                    </a:ln>
                  </pic:spPr>
                </pic:pic>
              </a:graphicData>
            </a:graphic>
          </wp:inline>
        </w:drawing>
      </w:r>
    </w:p>
    <w:p w14:paraId="5B159F07" w14:textId="77777777" w:rsidR="00633C6D" w:rsidRDefault="00633C6D" w:rsidP="00804DA9">
      <w:pPr>
        <w:rPr>
          <w:rFonts w:hint="eastAsia"/>
        </w:rPr>
      </w:pPr>
    </w:p>
    <w:p w14:paraId="01BCEA21" w14:textId="0C280CAF" w:rsidR="004315E7" w:rsidRPr="00473CC6" w:rsidRDefault="004315E7" w:rsidP="004315E7">
      <w:r>
        <w:rPr>
          <w:rFonts w:hint="eastAsia"/>
        </w:rPr>
        <w:t>上記の結果、</w:t>
      </w:r>
      <w:r>
        <w:t>ESG</w:t>
      </w:r>
      <w:r>
        <w:rPr>
          <w:rFonts w:hint="eastAsia"/>
        </w:rPr>
        <w:t>は、翌期における企業</w:t>
      </w:r>
      <w:r>
        <w:rPr>
          <w:rFonts w:hint="eastAsia"/>
        </w:rPr>
        <w:t>のミ</w:t>
      </w:r>
      <w:r>
        <w:rPr>
          <w:rFonts w:hint="eastAsia"/>
        </w:rPr>
        <w:t>スバリューを有意に増加させることを示した。</w:t>
      </w:r>
      <w:bookmarkStart w:id="0" w:name="_GoBack"/>
      <w:bookmarkEnd w:id="0"/>
    </w:p>
    <w:p w14:paraId="6782C3D4" w14:textId="1FB54987" w:rsidR="00633C6D" w:rsidRPr="00473CC6" w:rsidRDefault="00633C6D" w:rsidP="004315E7">
      <w:pPr>
        <w:rPr>
          <w:rFonts w:hint="eastAsia"/>
        </w:rPr>
      </w:pPr>
    </w:p>
    <w:sectPr w:rsidR="00633C6D" w:rsidRPr="00473CC6" w:rsidSect="00A1731B">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0AAF3" w14:textId="77777777" w:rsidR="00633C6D" w:rsidRDefault="00633C6D" w:rsidP="002C5F32">
      <w:r>
        <w:separator/>
      </w:r>
    </w:p>
  </w:endnote>
  <w:endnote w:type="continuationSeparator" w:id="0">
    <w:p w14:paraId="66E7DBFE" w14:textId="77777777" w:rsidR="00633C6D" w:rsidRDefault="00633C6D" w:rsidP="002C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Cambria Math">
    <w:panose1 w:val="02040503050406030204"/>
    <w:charset w:val="00"/>
    <w:family w:val="auto"/>
    <w:pitch w:val="variable"/>
    <w:sig w:usb0="E00002FF" w:usb1="420024FF" w:usb2="00000000" w:usb3="00000000" w:csb0="0000019F" w:csb1="00000000"/>
  </w:font>
  <w:font w:name="Menlo Bold">
    <w:panose1 w:val="020B0709030604020204"/>
    <w:charset w:val="00"/>
    <w:family w:val="auto"/>
    <w:pitch w:val="variable"/>
    <w:sig w:usb0="E60022FF" w:usb1="D000F1FB" w:usb2="00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02A99" w14:textId="77777777" w:rsidR="00633C6D" w:rsidRDefault="00633C6D" w:rsidP="002C5F32">
      <w:r>
        <w:separator/>
      </w:r>
    </w:p>
  </w:footnote>
  <w:footnote w:type="continuationSeparator" w:id="0">
    <w:p w14:paraId="546826FC" w14:textId="77777777" w:rsidR="00633C6D" w:rsidRDefault="00633C6D" w:rsidP="002C5F32">
      <w:r>
        <w:continuationSeparator/>
      </w:r>
    </w:p>
  </w:footnote>
  <w:footnote w:id="1">
    <w:p w14:paraId="058A1773" w14:textId="4969DC19" w:rsidR="00633C6D" w:rsidRDefault="00633C6D" w:rsidP="002C5F32">
      <w:pPr>
        <w:pStyle w:val="ab"/>
        <w:rPr>
          <w:rFonts w:hint="eastAsia"/>
        </w:rPr>
      </w:pPr>
      <w:r>
        <w:rPr>
          <w:rStyle w:val="ad"/>
        </w:rPr>
        <w:footnoteRef/>
      </w:r>
      <w:r>
        <w:t xml:space="preserve"> </w:t>
      </w:r>
      <w:r>
        <w:rPr>
          <w:rFonts w:hint="eastAsia"/>
        </w:rPr>
        <w:t>モデレーティング</w:t>
      </w:r>
      <w:r>
        <w:rPr>
          <w:rFonts w:hint="eastAsia"/>
        </w:rPr>
        <w:t>(</w:t>
      </w:r>
      <w:r>
        <w:rPr>
          <w:rFonts w:hint="eastAsia"/>
        </w:rPr>
        <w:t>調整</w:t>
      </w:r>
      <w:r>
        <w:rPr>
          <w:rFonts w:hint="eastAsia"/>
        </w:rPr>
        <w:t>)</w:t>
      </w:r>
      <w:r>
        <w:rPr>
          <w:rFonts w:hint="eastAsia"/>
        </w:rPr>
        <w:t>効果：</w:t>
      </w:r>
      <w:r>
        <w:rPr>
          <w:rFonts w:hint="eastAsia"/>
        </w:rPr>
        <w:t>A</w:t>
      </w:r>
      <w:r>
        <w:rPr>
          <w:rFonts w:hint="eastAsia"/>
        </w:rPr>
        <w:t>→</w:t>
      </w:r>
      <w:r>
        <w:rPr>
          <w:rFonts w:hint="eastAsia"/>
        </w:rPr>
        <w:t>B</w:t>
      </w:r>
      <w:r>
        <w:rPr>
          <w:rFonts w:hint="eastAsia"/>
        </w:rPr>
        <w:t>の関係に、別のユニットが影響を与えることである。例えば、</w:t>
      </w:r>
      <w:r>
        <w:rPr>
          <w:rFonts w:hint="eastAsia"/>
        </w:rPr>
        <w:t>A</w:t>
      </w:r>
      <w:r>
        <w:rPr>
          <w:rFonts w:hint="eastAsia"/>
        </w:rPr>
        <w:t>→</w:t>
      </w:r>
      <w:r>
        <w:rPr>
          <w:rFonts w:hint="eastAsia"/>
        </w:rPr>
        <w:t>B</w:t>
      </w:r>
      <w:r>
        <w:rPr>
          <w:rFonts w:hint="eastAsia"/>
        </w:rPr>
        <w:t>の関係にプラスの線形効果が会って、ユニット</w:t>
      </w:r>
      <w:r>
        <w:rPr>
          <w:rFonts w:hint="eastAsia"/>
        </w:rPr>
        <w:t>C</w:t>
      </w:r>
      <w:r>
        <w:rPr>
          <w:rFonts w:hint="eastAsia"/>
        </w:rPr>
        <w:t>が加わるとこの関係が強化される場合。</w:t>
      </w:r>
      <w:r>
        <w:rPr>
          <w:rFonts w:hint="eastAsia"/>
        </w:rPr>
        <w:t xml:space="preserve"> </w:t>
      </w:r>
      <w:r>
        <w:rPr>
          <w:rFonts w:hint="eastAsia"/>
        </w:rPr>
        <w:t>「</w:t>
      </w:r>
      <w:r>
        <w:rPr>
          <w:rFonts w:hint="eastAsia"/>
        </w:rPr>
        <w:t>C</w:t>
      </w:r>
      <w:r>
        <w:rPr>
          <w:rFonts w:hint="eastAsia"/>
        </w:rPr>
        <w:t>は</w:t>
      </w:r>
      <w:r>
        <w:rPr>
          <w:rFonts w:hint="eastAsia"/>
        </w:rPr>
        <w:t>A</w:t>
      </w:r>
      <w:r>
        <w:rPr>
          <w:rFonts w:hint="eastAsia"/>
        </w:rPr>
        <w:t>→</w:t>
      </w:r>
      <w:r>
        <w:rPr>
          <w:rFonts w:hint="eastAsia"/>
        </w:rPr>
        <w:t>B</w:t>
      </w:r>
      <w:r>
        <w:rPr>
          <w:rFonts w:hint="eastAsia"/>
        </w:rPr>
        <w:t>の関係に対してプラスのモデレーティング効果がある」と呼ぶ。</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017"/>
    <w:rsid w:val="00047C9A"/>
    <w:rsid w:val="0008164D"/>
    <w:rsid w:val="000C4546"/>
    <w:rsid w:val="000E0A15"/>
    <w:rsid w:val="00107C37"/>
    <w:rsid w:val="001361BE"/>
    <w:rsid w:val="0017291A"/>
    <w:rsid w:val="00184034"/>
    <w:rsid w:val="00186510"/>
    <w:rsid w:val="001B0573"/>
    <w:rsid w:val="00201017"/>
    <w:rsid w:val="00263543"/>
    <w:rsid w:val="002A3CB2"/>
    <w:rsid w:val="002B048F"/>
    <w:rsid w:val="002C5F32"/>
    <w:rsid w:val="00344A12"/>
    <w:rsid w:val="003B26A6"/>
    <w:rsid w:val="00421876"/>
    <w:rsid w:val="004315E7"/>
    <w:rsid w:val="00454482"/>
    <w:rsid w:val="00473CC6"/>
    <w:rsid w:val="004757C0"/>
    <w:rsid w:val="004A4D98"/>
    <w:rsid w:val="00506AEB"/>
    <w:rsid w:val="00633C6D"/>
    <w:rsid w:val="00663B31"/>
    <w:rsid w:val="006C1D26"/>
    <w:rsid w:val="006E3D71"/>
    <w:rsid w:val="00797B59"/>
    <w:rsid w:val="007C26E0"/>
    <w:rsid w:val="00804DA9"/>
    <w:rsid w:val="0088572D"/>
    <w:rsid w:val="00886FDC"/>
    <w:rsid w:val="008B51B8"/>
    <w:rsid w:val="008C59CB"/>
    <w:rsid w:val="00A1731B"/>
    <w:rsid w:val="00A73FA7"/>
    <w:rsid w:val="00A91DD6"/>
    <w:rsid w:val="00B45381"/>
    <w:rsid w:val="00B46198"/>
    <w:rsid w:val="00BA5EC9"/>
    <w:rsid w:val="00C5417C"/>
    <w:rsid w:val="00C91770"/>
    <w:rsid w:val="00CE0803"/>
    <w:rsid w:val="00D56EBF"/>
    <w:rsid w:val="00DF2162"/>
    <w:rsid w:val="00E673FD"/>
    <w:rsid w:val="00E723FB"/>
    <w:rsid w:val="00E843A0"/>
    <w:rsid w:val="00ED4AFC"/>
    <w:rsid w:val="00EE61D5"/>
    <w:rsid w:val="00F005A0"/>
    <w:rsid w:val="00F56902"/>
    <w:rsid w:val="00F61E97"/>
    <w:rsid w:val="00FF58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E607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91DD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1017"/>
    <w:rPr>
      <w:color w:val="808080"/>
    </w:rPr>
  </w:style>
  <w:style w:type="paragraph" w:styleId="a4">
    <w:name w:val="Balloon Text"/>
    <w:basedOn w:val="a"/>
    <w:link w:val="a5"/>
    <w:uiPriority w:val="99"/>
    <w:semiHidden/>
    <w:unhideWhenUsed/>
    <w:rsid w:val="00201017"/>
    <w:rPr>
      <w:rFonts w:ascii="ヒラギノ角ゴ ProN W3" w:eastAsia="ヒラギノ角ゴ ProN W3"/>
      <w:sz w:val="18"/>
      <w:szCs w:val="18"/>
    </w:rPr>
  </w:style>
  <w:style w:type="character" w:customStyle="1" w:styleId="a5">
    <w:name w:val="吹き出し (文字)"/>
    <w:basedOn w:val="a0"/>
    <w:link w:val="a4"/>
    <w:uiPriority w:val="99"/>
    <w:semiHidden/>
    <w:rsid w:val="00201017"/>
    <w:rPr>
      <w:rFonts w:ascii="ヒラギノ角ゴ ProN W3" w:eastAsia="ヒラギノ角ゴ ProN W3"/>
      <w:sz w:val="18"/>
      <w:szCs w:val="18"/>
    </w:rPr>
  </w:style>
  <w:style w:type="paragraph" w:styleId="a6">
    <w:name w:val="caption"/>
    <w:basedOn w:val="a"/>
    <w:next w:val="a"/>
    <w:uiPriority w:val="35"/>
    <w:unhideWhenUsed/>
    <w:qFormat/>
    <w:rsid w:val="00A91DD6"/>
    <w:rPr>
      <w:b/>
      <w:bCs/>
      <w:sz w:val="21"/>
      <w:szCs w:val="21"/>
    </w:rPr>
  </w:style>
  <w:style w:type="character" w:customStyle="1" w:styleId="10">
    <w:name w:val="見出し 1 (文字)"/>
    <w:basedOn w:val="a0"/>
    <w:link w:val="1"/>
    <w:uiPriority w:val="9"/>
    <w:rsid w:val="00A91DD6"/>
    <w:rPr>
      <w:rFonts w:asciiTheme="majorHAnsi" w:eastAsiaTheme="majorEastAsia" w:hAnsiTheme="majorHAnsi" w:cstheme="majorBidi"/>
      <w:sz w:val="28"/>
      <w:szCs w:val="28"/>
    </w:rPr>
  </w:style>
  <w:style w:type="paragraph" w:styleId="a7">
    <w:name w:val="TOC Heading"/>
    <w:basedOn w:val="1"/>
    <w:next w:val="a"/>
    <w:uiPriority w:val="39"/>
    <w:unhideWhenUsed/>
    <w:qFormat/>
    <w:rsid w:val="00A91DD6"/>
    <w:pPr>
      <w:keepLines/>
      <w:widowControl/>
      <w:spacing w:before="480" w:line="276" w:lineRule="auto"/>
      <w:jc w:val="left"/>
      <w:outlineLvl w:val="9"/>
    </w:pPr>
    <w:rPr>
      <w:b/>
      <w:bCs/>
      <w:color w:val="365F91" w:themeColor="accent1" w:themeShade="BF"/>
      <w:kern w:val="0"/>
    </w:rPr>
  </w:style>
  <w:style w:type="paragraph" w:styleId="11">
    <w:name w:val="toc 1"/>
    <w:basedOn w:val="a"/>
    <w:next w:val="a"/>
    <w:autoRedefine/>
    <w:uiPriority w:val="39"/>
    <w:unhideWhenUsed/>
    <w:rsid w:val="00A91DD6"/>
    <w:pPr>
      <w:spacing w:before="120"/>
      <w:jc w:val="left"/>
    </w:pPr>
    <w:rPr>
      <w:b/>
      <w:caps/>
      <w:sz w:val="22"/>
      <w:szCs w:val="22"/>
    </w:rPr>
  </w:style>
  <w:style w:type="paragraph" w:styleId="2">
    <w:name w:val="toc 2"/>
    <w:basedOn w:val="a"/>
    <w:next w:val="a"/>
    <w:autoRedefine/>
    <w:uiPriority w:val="39"/>
    <w:unhideWhenUsed/>
    <w:rsid w:val="00A91DD6"/>
    <w:pPr>
      <w:ind w:left="240"/>
      <w:jc w:val="left"/>
    </w:pPr>
    <w:rPr>
      <w:smallCaps/>
      <w:sz w:val="22"/>
      <w:szCs w:val="22"/>
    </w:rPr>
  </w:style>
  <w:style w:type="paragraph" w:styleId="3">
    <w:name w:val="toc 3"/>
    <w:basedOn w:val="a"/>
    <w:next w:val="a"/>
    <w:autoRedefine/>
    <w:uiPriority w:val="39"/>
    <w:unhideWhenUsed/>
    <w:rsid w:val="00A91DD6"/>
    <w:pPr>
      <w:ind w:left="480"/>
      <w:jc w:val="left"/>
    </w:pPr>
    <w:rPr>
      <w:i/>
      <w:sz w:val="22"/>
      <w:szCs w:val="22"/>
    </w:rPr>
  </w:style>
  <w:style w:type="paragraph" w:styleId="4">
    <w:name w:val="toc 4"/>
    <w:basedOn w:val="a"/>
    <w:next w:val="a"/>
    <w:autoRedefine/>
    <w:uiPriority w:val="39"/>
    <w:semiHidden/>
    <w:unhideWhenUsed/>
    <w:rsid w:val="00A91DD6"/>
    <w:pPr>
      <w:ind w:left="720"/>
      <w:jc w:val="left"/>
    </w:pPr>
    <w:rPr>
      <w:sz w:val="18"/>
      <w:szCs w:val="18"/>
    </w:rPr>
  </w:style>
  <w:style w:type="paragraph" w:styleId="5">
    <w:name w:val="toc 5"/>
    <w:basedOn w:val="a"/>
    <w:next w:val="a"/>
    <w:autoRedefine/>
    <w:uiPriority w:val="39"/>
    <w:semiHidden/>
    <w:unhideWhenUsed/>
    <w:rsid w:val="00A91DD6"/>
    <w:pPr>
      <w:ind w:left="960"/>
      <w:jc w:val="left"/>
    </w:pPr>
    <w:rPr>
      <w:sz w:val="18"/>
      <w:szCs w:val="18"/>
    </w:rPr>
  </w:style>
  <w:style w:type="paragraph" w:styleId="6">
    <w:name w:val="toc 6"/>
    <w:basedOn w:val="a"/>
    <w:next w:val="a"/>
    <w:autoRedefine/>
    <w:uiPriority w:val="39"/>
    <w:semiHidden/>
    <w:unhideWhenUsed/>
    <w:rsid w:val="00A91DD6"/>
    <w:pPr>
      <w:ind w:left="1200"/>
      <w:jc w:val="left"/>
    </w:pPr>
    <w:rPr>
      <w:sz w:val="18"/>
      <w:szCs w:val="18"/>
    </w:rPr>
  </w:style>
  <w:style w:type="paragraph" w:styleId="7">
    <w:name w:val="toc 7"/>
    <w:basedOn w:val="a"/>
    <w:next w:val="a"/>
    <w:autoRedefine/>
    <w:uiPriority w:val="39"/>
    <w:semiHidden/>
    <w:unhideWhenUsed/>
    <w:rsid w:val="00A91DD6"/>
    <w:pPr>
      <w:ind w:left="1440"/>
      <w:jc w:val="left"/>
    </w:pPr>
    <w:rPr>
      <w:sz w:val="18"/>
      <w:szCs w:val="18"/>
    </w:rPr>
  </w:style>
  <w:style w:type="paragraph" w:styleId="8">
    <w:name w:val="toc 8"/>
    <w:basedOn w:val="a"/>
    <w:next w:val="a"/>
    <w:autoRedefine/>
    <w:uiPriority w:val="39"/>
    <w:semiHidden/>
    <w:unhideWhenUsed/>
    <w:rsid w:val="00A91DD6"/>
    <w:pPr>
      <w:ind w:left="1680"/>
      <w:jc w:val="left"/>
    </w:pPr>
    <w:rPr>
      <w:sz w:val="18"/>
      <w:szCs w:val="18"/>
    </w:rPr>
  </w:style>
  <w:style w:type="paragraph" w:styleId="9">
    <w:name w:val="toc 9"/>
    <w:basedOn w:val="a"/>
    <w:next w:val="a"/>
    <w:autoRedefine/>
    <w:uiPriority w:val="39"/>
    <w:semiHidden/>
    <w:unhideWhenUsed/>
    <w:rsid w:val="00A91DD6"/>
    <w:pPr>
      <w:ind w:left="1920"/>
      <w:jc w:val="left"/>
    </w:pPr>
    <w:rPr>
      <w:sz w:val="18"/>
      <w:szCs w:val="18"/>
    </w:rPr>
  </w:style>
  <w:style w:type="paragraph" w:styleId="a8">
    <w:name w:val="Revision"/>
    <w:hidden/>
    <w:uiPriority w:val="99"/>
    <w:semiHidden/>
    <w:rsid w:val="00A91DD6"/>
  </w:style>
  <w:style w:type="paragraph" w:styleId="a9">
    <w:name w:val="Document Map"/>
    <w:basedOn w:val="a"/>
    <w:link w:val="aa"/>
    <w:uiPriority w:val="99"/>
    <w:semiHidden/>
    <w:unhideWhenUsed/>
    <w:rsid w:val="00A91DD6"/>
    <w:rPr>
      <w:rFonts w:ascii="ヒラギノ角ゴ ProN W3" w:eastAsia="ヒラギノ角ゴ ProN W3"/>
    </w:rPr>
  </w:style>
  <w:style w:type="character" w:customStyle="1" w:styleId="aa">
    <w:name w:val="見出しマップ (文字)"/>
    <w:basedOn w:val="a0"/>
    <w:link w:val="a9"/>
    <w:uiPriority w:val="99"/>
    <w:semiHidden/>
    <w:rsid w:val="00A91DD6"/>
    <w:rPr>
      <w:rFonts w:ascii="ヒラギノ角ゴ ProN W3" w:eastAsia="ヒラギノ角ゴ ProN W3"/>
    </w:rPr>
  </w:style>
  <w:style w:type="paragraph" w:styleId="ab">
    <w:name w:val="footnote text"/>
    <w:basedOn w:val="a"/>
    <w:link w:val="ac"/>
    <w:uiPriority w:val="99"/>
    <w:unhideWhenUsed/>
    <w:rsid w:val="002C5F32"/>
    <w:pPr>
      <w:snapToGrid w:val="0"/>
      <w:jc w:val="left"/>
    </w:pPr>
  </w:style>
  <w:style w:type="character" w:customStyle="1" w:styleId="ac">
    <w:name w:val="脚注文字列 (文字)"/>
    <w:basedOn w:val="a0"/>
    <w:link w:val="ab"/>
    <w:uiPriority w:val="99"/>
    <w:rsid w:val="002C5F32"/>
  </w:style>
  <w:style w:type="character" w:styleId="ad">
    <w:name w:val="footnote reference"/>
    <w:basedOn w:val="a0"/>
    <w:uiPriority w:val="99"/>
    <w:unhideWhenUsed/>
    <w:rsid w:val="002C5F3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91DD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1017"/>
    <w:rPr>
      <w:color w:val="808080"/>
    </w:rPr>
  </w:style>
  <w:style w:type="paragraph" w:styleId="a4">
    <w:name w:val="Balloon Text"/>
    <w:basedOn w:val="a"/>
    <w:link w:val="a5"/>
    <w:uiPriority w:val="99"/>
    <w:semiHidden/>
    <w:unhideWhenUsed/>
    <w:rsid w:val="00201017"/>
    <w:rPr>
      <w:rFonts w:ascii="ヒラギノ角ゴ ProN W3" w:eastAsia="ヒラギノ角ゴ ProN W3"/>
      <w:sz w:val="18"/>
      <w:szCs w:val="18"/>
    </w:rPr>
  </w:style>
  <w:style w:type="character" w:customStyle="1" w:styleId="a5">
    <w:name w:val="吹き出し (文字)"/>
    <w:basedOn w:val="a0"/>
    <w:link w:val="a4"/>
    <w:uiPriority w:val="99"/>
    <w:semiHidden/>
    <w:rsid w:val="00201017"/>
    <w:rPr>
      <w:rFonts w:ascii="ヒラギノ角ゴ ProN W3" w:eastAsia="ヒラギノ角ゴ ProN W3"/>
      <w:sz w:val="18"/>
      <w:szCs w:val="18"/>
    </w:rPr>
  </w:style>
  <w:style w:type="paragraph" w:styleId="a6">
    <w:name w:val="caption"/>
    <w:basedOn w:val="a"/>
    <w:next w:val="a"/>
    <w:uiPriority w:val="35"/>
    <w:unhideWhenUsed/>
    <w:qFormat/>
    <w:rsid w:val="00A91DD6"/>
    <w:rPr>
      <w:b/>
      <w:bCs/>
      <w:sz w:val="21"/>
      <w:szCs w:val="21"/>
    </w:rPr>
  </w:style>
  <w:style w:type="character" w:customStyle="1" w:styleId="10">
    <w:name w:val="見出し 1 (文字)"/>
    <w:basedOn w:val="a0"/>
    <w:link w:val="1"/>
    <w:uiPriority w:val="9"/>
    <w:rsid w:val="00A91DD6"/>
    <w:rPr>
      <w:rFonts w:asciiTheme="majorHAnsi" w:eastAsiaTheme="majorEastAsia" w:hAnsiTheme="majorHAnsi" w:cstheme="majorBidi"/>
      <w:sz w:val="28"/>
      <w:szCs w:val="28"/>
    </w:rPr>
  </w:style>
  <w:style w:type="paragraph" w:styleId="a7">
    <w:name w:val="TOC Heading"/>
    <w:basedOn w:val="1"/>
    <w:next w:val="a"/>
    <w:uiPriority w:val="39"/>
    <w:unhideWhenUsed/>
    <w:qFormat/>
    <w:rsid w:val="00A91DD6"/>
    <w:pPr>
      <w:keepLines/>
      <w:widowControl/>
      <w:spacing w:before="480" w:line="276" w:lineRule="auto"/>
      <w:jc w:val="left"/>
      <w:outlineLvl w:val="9"/>
    </w:pPr>
    <w:rPr>
      <w:b/>
      <w:bCs/>
      <w:color w:val="365F91" w:themeColor="accent1" w:themeShade="BF"/>
      <w:kern w:val="0"/>
    </w:rPr>
  </w:style>
  <w:style w:type="paragraph" w:styleId="11">
    <w:name w:val="toc 1"/>
    <w:basedOn w:val="a"/>
    <w:next w:val="a"/>
    <w:autoRedefine/>
    <w:uiPriority w:val="39"/>
    <w:unhideWhenUsed/>
    <w:rsid w:val="00A91DD6"/>
    <w:pPr>
      <w:spacing w:before="120"/>
      <w:jc w:val="left"/>
    </w:pPr>
    <w:rPr>
      <w:b/>
      <w:caps/>
      <w:sz w:val="22"/>
      <w:szCs w:val="22"/>
    </w:rPr>
  </w:style>
  <w:style w:type="paragraph" w:styleId="2">
    <w:name w:val="toc 2"/>
    <w:basedOn w:val="a"/>
    <w:next w:val="a"/>
    <w:autoRedefine/>
    <w:uiPriority w:val="39"/>
    <w:unhideWhenUsed/>
    <w:rsid w:val="00A91DD6"/>
    <w:pPr>
      <w:ind w:left="240"/>
      <w:jc w:val="left"/>
    </w:pPr>
    <w:rPr>
      <w:smallCaps/>
      <w:sz w:val="22"/>
      <w:szCs w:val="22"/>
    </w:rPr>
  </w:style>
  <w:style w:type="paragraph" w:styleId="3">
    <w:name w:val="toc 3"/>
    <w:basedOn w:val="a"/>
    <w:next w:val="a"/>
    <w:autoRedefine/>
    <w:uiPriority w:val="39"/>
    <w:unhideWhenUsed/>
    <w:rsid w:val="00A91DD6"/>
    <w:pPr>
      <w:ind w:left="480"/>
      <w:jc w:val="left"/>
    </w:pPr>
    <w:rPr>
      <w:i/>
      <w:sz w:val="22"/>
      <w:szCs w:val="22"/>
    </w:rPr>
  </w:style>
  <w:style w:type="paragraph" w:styleId="4">
    <w:name w:val="toc 4"/>
    <w:basedOn w:val="a"/>
    <w:next w:val="a"/>
    <w:autoRedefine/>
    <w:uiPriority w:val="39"/>
    <w:semiHidden/>
    <w:unhideWhenUsed/>
    <w:rsid w:val="00A91DD6"/>
    <w:pPr>
      <w:ind w:left="720"/>
      <w:jc w:val="left"/>
    </w:pPr>
    <w:rPr>
      <w:sz w:val="18"/>
      <w:szCs w:val="18"/>
    </w:rPr>
  </w:style>
  <w:style w:type="paragraph" w:styleId="5">
    <w:name w:val="toc 5"/>
    <w:basedOn w:val="a"/>
    <w:next w:val="a"/>
    <w:autoRedefine/>
    <w:uiPriority w:val="39"/>
    <w:semiHidden/>
    <w:unhideWhenUsed/>
    <w:rsid w:val="00A91DD6"/>
    <w:pPr>
      <w:ind w:left="960"/>
      <w:jc w:val="left"/>
    </w:pPr>
    <w:rPr>
      <w:sz w:val="18"/>
      <w:szCs w:val="18"/>
    </w:rPr>
  </w:style>
  <w:style w:type="paragraph" w:styleId="6">
    <w:name w:val="toc 6"/>
    <w:basedOn w:val="a"/>
    <w:next w:val="a"/>
    <w:autoRedefine/>
    <w:uiPriority w:val="39"/>
    <w:semiHidden/>
    <w:unhideWhenUsed/>
    <w:rsid w:val="00A91DD6"/>
    <w:pPr>
      <w:ind w:left="1200"/>
      <w:jc w:val="left"/>
    </w:pPr>
    <w:rPr>
      <w:sz w:val="18"/>
      <w:szCs w:val="18"/>
    </w:rPr>
  </w:style>
  <w:style w:type="paragraph" w:styleId="7">
    <w:name w:val="toc 7"/>
    <w:basedOn w:val="a"/>
    <w:next w:val="a"/>
    <w:autoRedefine/>
    <w:uiPriority w:val="39"/>
    <w:semiHidden/>
    <w:unhideWhenUsed/>
    <w:rsid w:val="00A91DD6"/>
    <w:pPr>
      <w:ind w:left="1440"/>
      <w:jc w:val="left"/>
    </w:pPr>
    <w:rPr>
      <w:sz w:val="18"/>
      <w:szCs w:val="18"/>
    </w:rPr>
  </w:style>
  <w:style w:type="paragraph" w:styleId="8">
    <w:name w:val="toc 8"/>
    <w:basedOn w:val="a"/>
    <w:next w:val="a"/>
    <w:autoRedefine/>
    <w:uiPriority w:val="39"/>
    <w:semiHidden/>
    <w:unhideWhenUsed/>
    <w:rsid w:val="00A91DD6"/>
    <w:pPr>
      <w:ind w:left="1680"/>
      <w:jc w:val="left"/>
    </w:pPr>
    <w:rPr>
      <w:sz w:val="18"/>
      <w:szCs w:val="18"/>
    </w:rPr>
  </w:style>
  <w:style w:type="paragraph" w:styleId="9">
    <w:name w:val="toc 9"/>
    <w:basedOn w:val="a"/>
    <w:next w:val="a"/>
    <w:autoRedefine/>
    <w:uiPriority w:val="39"/>
    <w:semiHidden/>
    <w:unhideWhenUsed/>
    <w:rsid w:val="00A91DD6"/>
    <w:pPr>
      <w:ind w:left="1920"/>
      <w:jc w:val="left"/>
    </w:pPr>
    <w:rPr>
      <w:sz w:val="18"/>
      <w:szCs w:val="18"/>
    </w:rPr>
  </w:style>
  <w:style w:type="paragraph" w:styleId="a8">
    <w:name w:val="Revision"/>
    <w:hidden/>
    <w:uiPriority w:val="99"/>
    <w:semiHidden/>
    <w:rsid w:val="00A91DD6"/>
  </w:style>
  <w:style w:type="paragraph" w:styleId="a9">
    <w:name w:val="Document Map"/>
    <w:basedOn w:val="a"/>
    <w:link w:val="aa"/>
    <w:uiPriority w:val="99"/>
    <w:semiHidden/>
    <w:unhideWhenUsed/>
    <w:rsid w:val="00A91DD6"/>
    <w:rPr>
      <w:rFonts w:ascii="ヒラギノ角ゴ ProN W3" w:eastAsia="ヒラギノ角ゴ ProN W3"/>
    </w:rPr>
  </w:style>
  <w:style w:type="character" w:customStyle="1" w:styleId="aa">
    <w:name w:val="見出しマップ (文字)"/>
    <w:basedOn w:val="a0"/>
    <w:link w:val="a9"/>
    <w:uiPriority w:val="99"/>
    <w:semiHidden/>
    <w:rsid w:val="00A91DD6"/>
    <w:rPr>
      <w:rFonts w:ascii="ヒラギノ角ゴ ProN W3" w:eastAsia="ヒラギノ角ゴ ProN W3"/>
    </w:rPr>
  </w:style>
  <w:style w:type="paragraph" w:styleId="ab">
    <w:name w:val="footnote text"/>
    <w:basedOn w:val="a"/>
    <w:link w:val="ac"/>
    <w:uiPriority w:val="99"/>
    <w:unhideWhenUsed/>
    <w:rsid w:val="002C5F32"/>
    <w:pPr>
      <w:snapToGrid w:val="0"/>
      <w:jc w:val="left"/>
    </w:pPr>
  </w:style>
  <w:style w:type="character" w:customStyle="1" w:styleId="ac">
    <w:name w:val="脚注文字列 (文字)"/>
    <w:basedOn w:val="a0"/>
    <w:link w:val="ab"/>
    <w:uiPriority w:val="99"/>
    <w:rsid w:val="002C5F32"/>
  </w:style>
  <w:style w:type="character" w:styleId="ad">
    <w:name w:val="footnote reference"/>
    <w:basedOn w:val="a0"/>
    <w:uiPriority w:val="99"/>
    <w:unhideWhenUsed/>
    <w:rsid w:val="002C5F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E770CF6-1C19-C14A-9C3C-D2E9CCBD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11</Pages>
  <Words>926</Words>
  <Characters>5279</Characters>
  <Application>Microsoft Macintosh Word</Application>
  <DocSecurity>0</DocSecurity>
  <Lines>43</Lines>
  <Paragraphs>12</Paragraphs>
  <ScaleCrop>false</ScaleCrop>
  <Company/>
  <LinksUpToDate>false</LinksUpToDate>
  <CharactersWithSpaces>6193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門脇 俊輔</dc:creator>
  <cp:keywords/>
  <dc:description/>
  <cp:lastModifiedBy>門脇 俊輔</cp:lastModifiedBy>
  <cp:revision>18</cp:revision>
  <dcterms:created xsi:type="dcterms:W3CDTF">2022-09-11T01:24:00Z</dcterms:created>
  <dcterms:modified xsi:type="dcterms:W3CDTF">2022-09-11T23:35:00Z</dcterms:modified>
</cp:coreProperties>
</file>