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4F2A6" w14:textId="49F1C1BF" w:rsidR="0030445B" w:rsidRDefault="002021BD" w:rsidP="0030445B">
      <w:pPr>
        <w:rPr>
          <w:rFonts w:hint="eastAsia"/>
        </w:rPr>
      </w:pPr>
      <w:r>
        <w:rPr>
          <w:rFonts w:hint="eastAsia"/>
        </w:rPr>
        <w:t xml:space="preserve">　</w:t>
      </w:r>
      <w:proofErr w:type="spellStart"/>
      <w:r w:rsidR="0030445B" w:rsidRPr="0030445B">
        <w:t>Flammer</w:t>
      </w:r>
      <w:proofErr w:type="spellEnd"/>
      <w:r w:rsidR="0030445B">
        <w:t>(2021)</w:t>
      </w:r>
      <w:r w:rsidR="0030445B">
        <w:rPr>
          <w:rFonts w:hint="eastAsia"/>
        </w:rPr>
        <w:t>は、気候変動に配慮したプロジェクトに資金を提供するグリーンボンドについて</w:t>
      </w:r>
      <w:r w:rsidR="00D54B6A">
        <w:rPr>
          <w:rFonts w:hint="eastAsia"/>
        </w:rPr>
        <w:t>パフォーマンス関連の分析を行っている</w:t>
      </w:r>
      <w:r w:rsidR="00196643">
        <w:rPr>
          <w:rFonts w:hint="eastAsia"/>
        </w:rPr>
        <w:t>。</w:t>
      </w:r>
      <w:r w:rsidR="00D54B6A">
        <w:rPr>
          <w:rFonts w:hint="eastAsia"/>
        </w:rPr>
        <w:t>具体的には、以下の３点について分析を行った。１点目は、株式市場の投資家が</w:t>
      </w:r>
      <w:r w:rsidR="0030445B">
        <w:rPr>
          <w:rFonts w:hint="eastAsia"/>
        </w:rPr>
        <w:t>グリーンボンド</w:t>
      </w:r>
      <w:r w:rsidR="0030445B">
        <w:rPr>
          <w:rFonts w:hint="eastAsia"/>
        </w:rPr>
        <w:t xml:space="preserve"> </w:t>
      </w:r>
      <w:r w:rsidR="0030445B">
        <w:rPr>
          <w:rFonts w:hint="eastAsia"/>
        </w:rPr>
        <w:t>における発行の発表に対して</w:t>
      </w:r>
      <w:r w:rsidR="00D54B6A">
        <w:rPr>
          <w:rFonts w:hint="eastAsia"/>
        </w:rPr>
        <w:t>反応しているか</w:t>
      </w:r>
      <w:r w:rsidR="00BE78D5">
        <w:rPr>
          <w:rFonts w:hint="eastAsia"/>
        </w:rPr>
        <w:t>を検証</w:t>
      </w:r>
      <w:r w:rsidR="00D54B6A">
        <w:rPr>
          <w:rFonts w:hint="eastAsia"/>
        </w:rPr>
        <w:t>した。２点目は、発行体が、グリーンボンドの発行後に環境パフォーマンスを向上させているかを検証し、３点目にグリーニアムが観測されているか分析を行った。</w:t>
      </w:r>
    </w:p>
    <w:p w14:paraId="372DB66D" w14:textId="7EA2A617" w:rsidR="00F70D69" w:rsidRDefault="00BE78D5" w:rsidP="008038E0">
      <w:pPr>
        <w:rPr>
          <w:rFonts w:hint="eastAsia"/>
        </w:rPr>
      </w:pPr>
      <w:r>
        <w:rPr>
          <w:rFonts w:hint="eastAsia"/>
        </w:rPr>
        <w:t xml:space="preserve">　続いて、</w:t>
      </w:r>
      <w:r w:rsidR="00196643">
        <w:rPr>
          <w:rFonts w:hint="eastAsia"/>
        </w:rPr>
        <w:t>本研究における分析期間やデータについて説明する。</w:t>
      </w:r>
      <w:r w:rsidR="008038E0">
        <w:rPr>
          <w:rFonts w:hint="eastAsia"/>
        </w:rPr>
        <w:t>グリーンボンド</w:t>
      </w:r>
      <w:r w:rsidR="00196643">
        <w:rPr>
          <w:rFonts w:hint="eastAsia"/>
        </w:rPr>
        <w:t>の社債のデータ</w:t>
      </w:r>
      <w:r w:rsidR="008038E0">
        <w:rPr>
          <w:rFonts w:hint="eastAsia"/>
        </w:rPr>
        <w:t>は、</w:t>
      </w:r>
      <w:r w:rsidR="008038E0">
        <w:rPr>
          <w:rFonts w:hint="eastAsia"/>
        </w:rPr>
        <w:t>Bloomberg</w:t>
      </w:r>
      <w:r w:rsidR="008038E0">
        <w:rPr>
          <w:rFonts w:hint="eastAsia"/>
        </w:rPr>
        <w:t>の</w:t>
      </w:r>
      <w:r w:rsidR="00F70D69">
        <w:rPr>
          <w:rFonts w:hint="eastAsia"/>
        </w:rPr>
        <w:t>債券の</w:t>
      </w:r>
      <w:r>
        <w:rPr>
          <w:rFonts w:hint="eastAsia"/>
        </w:rPr>
        <w:t>データベースから、「グリーンボンド」と表示されている社債（具体的</w:t>
      </w:r>
      <w:r w:rsidR="008038E0">
        <w:rPr>
          <w:rFonts w:hint="eastAsia"/>
        </w:rPr>
        <w:t>には、</w:t>
      </w:r>
      <w:r w:rsidR="00F70D69" w:rsidRPr="00F70D69">
        <w:rPr>
          <w:rFonts w:hint="eastAsia"/>
        </w:rPr>
        <w:t>“</w:t>
      </w:r>
      <w:r w:rsidR="00F70D69" w:rsidRPr="00F70D69">
        <w:t>Green bond indicator”</w:t>
      </w:r>
      <w:r w:rsidR="008038E0">
        <w:rPr>
          <w:rFonts w:hint="eastAsia"/>
        </w:rPr>
        <w:t>が「</w:t>
      </w:r>
      <w:r w:rsidR="008038E0">
        <w:rPr>
          <w:rFonts w:hint="eastAsia"/>
        </w:rPr>
        <w:t>Yes</w:t>
      </w:r>
      <w:r w:rsidR="008038E0">
        <w:rPr>
          <w:rFonts w:hint="eastAsia"/>
        </w:rPr>
        <w:t>」である社債）を抽出し、発行体の</w:t>
      </w:r>
      <w:r w:rsidR="008038E0">
        <w:rPr>
          <w:rFonts w:hint="eastAsia"/>
        </w:rPr>
        <w:t>BICS</w:t>
      </w:r>
      <w:r w:rsidR="008038E0">
        <w:rPr>
          <w:rFonts w:hint="eastAsia"/>
        </w:rPr>
        <w:t>（</w:t>
      </w:r>
      <w:r w:rsidR="008038E0">
        <w:rPr>
          <w:rFonts w:hint="eastAsia"/>
        </w:rPr>
        <w:t xml:space="preserve">Bloomberg Industry </w:t>
      </w:r>
      <w:proofErr w:type="spellStart"/>
      <w:r w:rsidR="008038E0">
        <w:rPr>
          <w:rFonts w:hint="eastAsia"/>
        </w:rPr>
        <w:t>Classiography</w:t>
      </w:r>
      <w:proofErr w:type="spellEnd"/>
      <w:r w:rsidR="008038E0">
        <w:rPr>
          <w:rFonts w:hint="eastAsia"/>
        </w:rPr>
        <w:t xml:space="preserve"> System</w:t>
      </w:r>
      <w:r w:rsidR="00F70D69">
        <w:rPr>
          <w:rFonts w:hint="eastAsia"/>
        </w:rPr>
        <w:t>）が「政府」である社債を除外して作成した</w:t>
      </w:r>
      <w:r w:rsidR="008038E0">
        <w:rPr>
          <w:rFonts w:hint="eastAsia"/>
        </w:rPr>
        <w:t>。</w:t>
      </w:r>
      <w:r w:rsidR="008038E0">
        <w:rPr>
          <w:rFonts w:hint="eastAsia"/>
        </w:rPr>
        <w:t>Bloomberg</w:t>
      </w:r>
      <w:r w:rsidR="00196643">
        <w:rPr>
          <w:rFonts w:hint="eastAsia"/>
        </w:rPr>
        <w:t>の債券のデータベースは包括的にカバーされており</w:t>
      </w:r>
      <w:r w:rsidR="008038E0">
        <w:rPr>
          <w:rFonts w:hint="eastAsia"/>
        </w:rPr>
        <w:t>、</w:t>
      </w:r>
      <w:r w:rsidR="008038E0">
        <w:rPr>
          <w:rFonts w:hint="eastAsia"/>
        </w:rPr>
        <w:t>2013</w:t>
      </w:r>
      <w:r w:rsidR="008038E0">
        <w:rPr>
          <w:rFonts w:hint="eastAsia"/>
        </w:rPr>
        <w:t>年</w:t>
      </w:r>
      <w:r w:rsidR="008038E0">
        <w:rPr>
          <w:rFonts w:hint="eastAsia"/>
        </w:rPr>
        <w:t>1</w:t>
      </w:r>
      <w:r w:rsidR="008038E0">
        <w:rPr>
          <w:rFonts w:hint="eastAsia"/>
        </w:rPr>
        <w:t>月</w:t>
      </w:r>
      <w:r w:rsidR="008038E0">
        <w:rPr>
          <w:rFonts w:hint="eastAsia"/>
        </w:rPr>
        <w:t>1</w:t>
      </w:r>
      <w:r w:rsidR="008038E0">
        <w:rPr>
          <w:rFonts w:hint="eastAsia"/>
        </w:rPr>
        <w:t>日から</w:t>
      </w:r>
      <w:r w:rsidR="008038E0">
        <w:rPr>
          <w:rFonts w:hint="eastAsia"/>
        </w:rPr>
        <w:t>2018</w:t>
      </w:r>
      <w:r w:rsidR="008038E0">
        <w:rPr>
          <w:rFonts w:hint="eastAsia"/>
        </w:rPr>
        <w:t>年</w:t>
      </w:r>
      <w:r w:rsidR="008038E0">
        <w:rPr>
          <w:rFonts w:hint="eastAsia"/>
        </w:rPr>
        <w:t>12</w:t>
      </w:r>
      <w:r w:rsidR="008038E0">
        <w:rPr>
          <w:rFonts w:hint="eastAsia"/>
        </w:rPr>
        <w:t>月</w:t>
      </w:r>
      <w:r w:rsidR="008038E0">
        <w:rPr>
          <w:rFonts w:hint="eastAsia"/>
        </w:rPr>
        <w:t>31</w:t>
      </w:r>
      <w:r w:rsidR="008038E0">
        <w:rPr>
          <w:rFonts w:hint="eastAsia"/>
        </w:rPr>
        <w:t>日までに発行されたグリ</w:t>
      </w:r>
      <w:r w:rsidR="00F70D69">
        <w:rPr>
          <w:rFonts w:hint="eastAsia"/>
        </w:rPr>
        <w:t>ーンボンド</w:t>
      </w:r>
      <w:r w:rsidR="008038E0">
        <w:rPr>
          <w:rFonts w:hint="eastAsia"/>
        </w:rPr>
        <w:t>合計</w:t>
      </w:r>
      <w:r w:rsidR="008038E0">
        <w:rPr>
          <w:rFonts w:hint="eastAsia"/>
        </w:rPr>
        <w:t>1</w:t>
      </w:r>
      <w:r>
        <w:t>,</w:t>
      </w:r>
      <w:r w:rsidR="008038E0">
        <w:rPr>
          <w:rFonts w:hint="eastAsia"/>
        </w:rPr>
        <w:t>189</w:t>
      </w:r>
      <w:r w:rsidR="008038E0">
        <w:rPr>
          <w:rFonts w:hint="eastAsia"/>
        </w:rPr>
        <w:t>社分</w:t>
      </w:r>
      <w:r w:rsidR="00F70D69">
        <w:rPr>
          <w:rFonts w:hint="eastAsia"/>
        </w:rPr>
        <w:t>を</w:t>
      </w:r>
      <w:r w:rsidR="008038E0">
        <w:rPr>
          <w:rFonts w:hint="eastAsia"/>
        </w:rPr>
        <w:t>抽出した。各債券について、</w:t>
      </w:r>
      <w:r w:rsidR="008038E0">
        <w:rPr>
          <w:rFonts w:hint="eastAsia"/>
        </w:rPr>
        <w:t>Bloomberg</w:t>
      </w:r>
      <w:r w:rsidR="008038E0">
        <w:rPr>
          <w:rFonts w:hint="eastAsia"/>
        </w:rPr>
        <w:t>は金額、通貨、満期、クーポン、信用格付けなどの情報を含</w:t>
      </w:r>
      <w:r w:rsidR="00F70D69">
        <w:rPr>
          <w:rFonts w:hint="eastAsia"/>
        </w:rPr>
        <w:t>み、</w:t>
      </w:r>
      <w:r w:rsidR="008038E0">
        <w:rPr>
          <w:rFonts w:hint="eastAsia"/>
        </w:rPr>
        <w:t>比較を容易にするために、すべての金額</w:t>
      </w:r>
      <w:r w:rsidR="00F70D69">
        <w:rPr>
          <w:rFonts w:hint="eastAsia"/>
        </w:rPr>
        <w:t>を米ドルに換算している。以上をまとめると、本研究の分析期間やデータソースは以下の通りとなっている。</w:t>
      </w:r>
    </w:p>
    <w:p w14:paraId="6FBC518E" w14:textId="77777777" w:rsidR="008038E0" w:rsidRDefault="008038E0" w:rsidP="0030445B">
      <w:pPr>
        <w:rPr>
          <w:rFonts w:hint="eastAsia"/>
        </w:rPr>
      </w:pPr>
    </w:p>
    <w:tbl>
      <w:tblPr>
        <w:tblW w:w="7860" w:type="dxa"/>
        <w:tblInd w:w="84" w:type="dxa"/>
        <w:tblCellMar>
          <w:left w:w="99" w:type="dxa"/>
          <w:right w:w="99" w:type="dxa"/>
        </w:tblCellMar>
        <w:tblLook w:val="04A0" w:firstRow="1" w:lastRow="0" w:firstColumn="1" w:lastColumn="0" w:noHBand="0" w:noVBand="1"/>
      </w:tblPr>
      <w:tblGrid>
        <w:gridCol w:w="2900"/>
        <w:gridCol w:w="4960"/>
      </w:tblGrid>
      <w:tr w:rsidR="00CA4692" w:rsidRPr="00CA4692" w14:paraId="6A1259CF" w14:textId="77777777" w:rsidTr="00CA4692">
        <w:trPr>
          <w:trHeight w:val="360"/>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1AC40" w14:textId="77777777" w:rsidR="00CA4692" w:rsidRPr="00CA4692" w:rsidRDefault="00CA4692" w:rsidP="00CA4692">
            <w:pPr>
              <w:widowControl/>
              <w:jc w:val="left"/>
              <w:rPr>
                <w:rFonts w:ascii="ＭＳ 明朝" w:eastAsia="ＭＳ 明朝" w:hAnsi="ＭＳ 明朝" w:cs="Times New Roman"/>
                <w:color w:val="000000"/>
                <w:kern w:val="0"/>
              </w:rPr>
            </w:pPr>
            <w:r w:rsidRPr="00CA4692">
              <w:rPr>
                <w:rFonts w:ascii="ＭＳ 明朝" w:eastAsia="ＭＳ 明朝" w:hAnsi="ＭＳ 明朝" w:cs="Times New Roman" w:hint="eastAsia"/>
                <w:color w:val="000000"/>
                <w:kern w:val="0"/>
              </w:rPr>
              <w:t>分析期間</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3D89C9E0" w14:textId="77777777" w:rsidR="00CA4692" w:rsidRPr="00CA4692" w:rsidRDefault="00CA4692" w:rsidP="00CA4692">
            <w:pPr>
              <w:widowControl/>
              <w:jc w:val="left"/>
              <w:rPr>
                <w:rFonts w:ascii="ＭＳ 明朝" w:eastAsia="ＭＳ 明朝" w:hAnsi="ＭＳ 明朝" w:cs="Times New Roman"/>
                <w:color w:val="000000"/>
                <w:kern w:val="0"/>
              </w:rPr>
            </w:pPr>
            <w:r w:rsidRPr="00CA4692">
              <w:rPr>
                <w:rFonts w:ascii="ＭＳ 明朝" w:eastAsia="ＭＳ 明朝" w:hAnsi="ＭＳ 明朝" w:cs="Times New Roman" w:hint="eastAsia"/>
                <w:color w:val="000000"/>
                <w:kern w:val="0"/>
              </w:rPr>
              <w:t>2013年1月1日〜2018年12月31日</w:t>
            </w:r>
          </w:p>
        </w:tc>
      </w:tr>
      <w:tr w:rsidR="00CA4692" w:rsidRPr="00CA4692" w14:paraId="0767B80D" w14:textId="77777777" w:rsidTr="00CA4692">
        <w:trPr>
          <w:trHeight w:val="36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D0C4652" w14:textId="77777777" w:rsidR="00CA4692" w:rsidRPr="00CA4692" w:rsidRDefault="00CA4692" w:rsidP="00CA4692">
            <w:pPr>
              <w:widowControl/>
              <w:jc w:val="left"/>
              <w:rPr>
                <w:rFonts w:ascii="ＭＳ 明朝" w:eastAsia="ＭＳ 明朝" w:hAnsi="ＭＳ 明朝" w:cs="Times New Roman"/>
                <w:color w:val="000000"/>
                <w:kern w:val="0"/>
              </w:rPr>
            </w:pPr>
            <w:r w:rsidRPr="00CA4692">
              <w:rPr>
                <w:rFonts w:ascii="ＭＳ 明朝" w:eastAsia="ＭＳ 明朝" w:hAnsi="ＭＳ 明朝" w:cs="Times New Roman" w:hint="eastAsia"/>
                <w:color w:val="000000"/>
                <w:kern w:val="0"/>
              </w:rPr>
              <w:t>グリーンボンド データ</w:t>
            </w:r>
          </w:p>
        </w:tc>
        <w:tc>
          <w:tcPr>
            <w:tcW w:w="4960" w:type="dxa"/>
            <w:tcBorders>
              <w:top w:val="nil"/>
              <w:left w:val="nil"/>
              <w:bottom w:val="single" w:sz="4" w:space="0" w:color="auto"/>
              <w:right w:val="single" w:sz="4" w:space="0" w:color="auto"/>
            </w:tcBorders>
            <w:shd w:val="clear" w:color="auto" w:fill="auto"/>
            <w:noWrap/>
            <w:vAlign w:val="bottom"/>
            <w:hideMark/>
          </w:tcPr>
          <w:p w14:paraId="3AF295C0" w14:textId="77777777" w:rsidR="00CA4692" w:rsidRPr="00CA4692" w:rsidRDefault="00CA4692" w:rsidP="00CA4692">
            <w:pPr>
              <w:widowControl/>
              <w:jc w:val="left"/>
              <w:rPr>
                <w:rFonts w:ascii="ＭＳ 明朝" w:eastAsia="ＭＳ 明朝" w:hAnsi="ＭＳ 明朝" w:cs="Times New Roman"/>
                <w:color w:val="000000"/>
                <w:kern w:val="0"/>
              </w:rPr>
            </w:pPr>
            <w:r w:rsidRPr="00CA4692">
              <w:rPr>
                <w:rFonts w:ascii="ＭＳ 明朝" w:eastAsia="ＭＳ 明朝" w:hAnsi="ＭＳ 明朝" w:cs="Times New Roman" w:hint="eastAsia"/>
                <w:color w:val="000000"/>
                <w:kern w:val="0"/>
              </w:rPr>
              <w:t>Bloombergの債券データベース</w:t>
            </w:r>
          </w:p>
        </w:tc>
      </w:tr>
      <w:tr w:rsidR="00CA4692" w:rsidRPr="00CA4692" w14:paraId="62233F6F" w14:textId="77777777" w:rsidTr="00CA4692">
        <w:trPr>
          <w:trHeight w:val="36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310C8146" w14:textId="77777777" w:rsidR="00CA4692" w:rsidRPr="00CA4692" w:rsidRDefault="00CA4692" w:rsidP="00CA4692">
            <w:pPr>
              <w:widowControl/>
              <w:jc w:val="left"/>
              <w:rPr>
                <w:rFonts w:ascii="ＭＳ 明朝" w:eastAsia="ＭＳ 明朝" w:hAnsi="ＭＳ 明朝" w:cs="Times New Roman"/>
                <w:color w:val="000000"/>
                <w:kern w:val="0"/>
              </w:rPr>
            </w:pPr>
            <w:r w:rsidRPr="00CA4692">
              <w:rPr>
                <w:rFonts w:ascii="ＭＳ 明朝" w:eastAsia="ＭＳ 明朝" w:hAnsi="ＭＳ 明朝" w:cs="Times New Roman" w:hint="eastAsia"/>
                <w:color w:val="000000"/>
                <w:kern w:val="0"/>
              </w:rPr>
              <w:t>発行体データ</w:t>
            </w:r>
          </w:p>
        </w:tc>
        <w:tc>
          <w:tcPr>
            <w:tcW w:w="4960" w:type="dxa"/>
            <w:tcBorders>
              <w:top w:val="nil"/>
              <w:left w:val="nil"/>
              <w:bottom w:val="single" w:sz="4" w:space="0" w:color="auto"/>
              <w:right w:val="single" w:sz="4" w:space="0" w:color="auto"/>
            </w:tcBorders>
            <w:shd w:val="clear" w:color="auto" w:fill="auto"/>
            <w:noWrap/>
            <w:vAlign w:val="bottom"/>
            <w:hideMark/>
          </w:tcPr>
          <w:p w14:paraId="47C816E6" w14:textId="77777777" w:rsidR="00CA4692" w:rsidRPr="00CA4692" w:rsidRDefault="00CA4692" w:rsidP="00CA4692">
            <w:pPr>
              <w:widowControl/>
              <w:jc w:val="left"/>
              <w:rPr>
                <w:rFonts w:ascii="ＭＳ 明朝" w:eastAsia="ＭＳ 明朝" w:hAnsi="ＭＳ 明朝" w:cs="Times New Roman"/>
                <w:color w:val="000000"/>
                <w:kern w:val="0"/>
              </w:rPr>
            </w:pPr>
            <w:r w:rsidRPr="00CA4692">
              <w:rPr>
                <w:rFonts w:ascii="ＭＳ 明朝" w:eastAsia="ＭＳ 明朝" w:hAnsi="ＭＳ 明朝" w:cs="Times New Roman" w:hint="eastAsia"/>
                <w:color w:val="000000"/>
                <w:kern w:val="0"/>
              </w:rPr>
              <w:t xml:space="preserve">Standard &amp; Poor’s </w:t>
            </w:r>
            <w:proofErr w:type="spellStart"/>
            <w:r w:rsidRPr="00CA4692">
              <w:rPr>
                <w:rFonts w:ascii="ＭＳ 明朝" w:eastAsia="ＭＳ 明朝" w:hAnsi="ＭＳ 明朝" w:cs="Times New Roman" w:hint="eastAsia"/>
                <w:color w:val="000000"/>
                <w:kern w:val="0"/>
              </w:rPr>
              <w:t>Compustat</w:t>
            </w:r>
            <w:proofErr w:type="spellEnd"/>
          </w:p>
        </w:tc>
      </w:tr>
      <w:tr w:rsidR="00CA4692" w:rsidRPr="00CA4692" w14:paraId="44A4F562" w14:textId="77777777" w:rsidTr="00CA4692">
        <w:trPr>
          <w:trHeight w:val="36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7D4562E8" w14:textId="77777777" w:rsidR="00CA4692" w:rsidRPr="00CA4692" w:rsidRDefault="00CA4692" w:rsidP="00CA4692">
            <w:pPr>
              <w:widowControl/>
              <w:jc w:val="left"/>
              <w:rPr>
                <w:rFonts w:ascii="ＭＳ 明朝" w:eastAsia="ＭＳ 明朝" w:hAnsi="ＭＳ 明朝" w:cs="Times New Roman"/>
                <w:color w:val="000000"/>
                <w:kern w:val="0"/>
              </w:rPr>
            </w:pPr>
            <w:r w:rsidRPr="00CA4692">
              <w:rPr>
                <w:rFonts w:ascii="ＭＳ 明朝" w:eastAsia="ＭＳ 明朝" w:hAnsi="ＭＳ 明朝" w:cs="Times New Roman" w:hint="eastAsia"/>
                <w:color w:val="000000"/>
                <w:kern w:val="0"/>
              </w:rPr>
              <w:t>ESGデータ</w:t>
            </w:r>
          </w:p>
        </w:tc>
        <w:tc>
          <w:tcPr>
            <w:tcW w:w="4960" w:type="dxa"/>
            <w:tcBorders>
              <w:top w:val="nil"/>
              <w:left w:val="nil"/>
              <w:bottom w:val="single" w:sz="4" w:space="0" w:color="auto"/>
              <w:right w:val="single" w:sz="4" w:space="0" w:color="auto"/>
            </w:tcBorders>
            <w:shd w:val="clear" w:color="auto" w:fill="auto"/>
            <w:noWrap/>
            <w:vAlign w:val="bottom"/>
            <w:hideMark/>
          </w:tcPr>
          <w:p w14:paraId="69F05976" w14:textId="3903FCAB" w:rsidR="00CA4692" w:rsidRPr="00CA4692" w:rsidRDefault="00272F34" w:rsidP="00CA4692">
            <w:pPr>
              <w:widowControl/>
              <w:jc w:val="left"/>
              <w:rPr>
                <w:rFonts w:ascii="ＭＳ 明朝" w:eastAsia="ＭＳ 明朝" w:hAnsi="ＭＳ 明朝" w:cs="Times New Roman"/>
                <w:color w:val="000000"/>
                <w:kern w:val="0"/>
              </w:rPr>
            </w:pPr>
            <w:r>
              <w:rPr>
                <w:rFonts w:ascii="ＭＳ 明朝" w:eastAsia="ＭＳ 明朝" w:hAnsi="ＭＳ 明朝" w:cs="Times New Roman" w:hint="eastAsia"/>
                <w:color w:val="000000"/>
                <w:kern w:val="0"/>
              </w:rPr>
              <w:t>Thomson Reuter</w:t>
            </w:r>
            <w:r w:rsidR="00CA4692" w:rsidRPr="00CA4692">
              <w:rPr>
                <w:rFonts w:ascii="ＭＳ 明朝" w:eastAsia="ＭＳ 明朝" w:hAnsi="ＭＳ 明朝" w:cs="Times New Roman" w:hint="eastAsia"/>
                <w:color w:val="000000"/>
                <w:kern w:val="0"/>
              </w:rPr>
              <w:t xml:space="preserve"> ASSET4</w:t>
            </w:r>
          </w:p>
        </w:tc>
      </w:tr>
    </w:tbl>
    <w:p w14:paraId="04EAF671" w14:textId="77777777" w:rsidR="00CA4692" w:rsidRDefault="00CA4692" w:rsidP="0030445B">
      <w:pPr>
        <w:rPr>
          <w:rFonts w:hint="eastAsia"/>
        </w:rPr>
      </w:pPr>
    </w:p>
    <w:p w14:paraId="37CAFB12" w14:textId="40CAC7FA" w:rsidR="00DF6D76" w:rsidRDefault="002021BD" w:rsidP="0030445B">
      <w:r>
        <w:rPr>
          <w:rFonts w:hint="eastAsia"/>
        </w:rPr>
        <w:t>以下、</w:t>
      </w:r>
      <w:r w:rsidR="00DF6D76">
        <w:rPr>
          <w:rFonts w:hint="eastAsia"/>
        </w:rPr>
        <w:t>具体的な分析内容</w:t>
      </w:r>
      <w:r>
        <w:rPr>
          <w:rFonts w:hint="eastAsia"/>
        </w:rPr>
        <w:t>を詳述する。</w:t>
      </w:r>
    </w:p>
    <w:p w14:paraId="3E6692F8" w14:textId="77777777" w:rsidR="00BE78D5" w:rsidRDefault="00BE78D5" w:rsidP="0030445B"/>
    <w:p w14:paraId="03D8B45F" w14:textId="7E79A528" w:rsidR="00382924" w:rsidRPr="00BE78D5" w:rsidRDefault="00DF6D76" w:rsidP="00FE35E4">
      <w:pPr>
        <w:pStyle w:val="a3"/>
        <w:numPr>
          <w:ilvl w:val="0"/>
          <w:numId w:val="2"/>
        </w:numPr>
        <w:ind w:leftChars="0"/>
        <w:rPr>
          <w:rFonts w:hint="eastAsia"/>
          <w:u w:val="single"/>
        </w:rPr>
      </w:pPr>
      <w:r w:rsidRPr="00BE78D5">
        <w:rPr>
          <w:rFonts w:hint="eastAsia"/>
          <w:u w:val="single"/>
        </w:rPr>
        <w:t>グリーンボンド</w:t>
      </w:r>
      <w:r w:rsidRPr="00BE78D5">
        <w:rPr>
          <w:rFonts w:hint="eastAsia"/>
          <w:u w:val="single"/>
        </w:rPr>
        <w:t xml:space="preserve"> </w:t>
      </w:r>
      <w:r w:rsidRPr="00BE78D5">
        <w:rPr>
          <w:rFonts w:hint="eastAsia"/>
          <w:u w:val="single"/>
        </w:rPr>
        <w:t>を発行することで、企業の環境に対するコミットメントを示すシグナリング効果の検証</w:t>
      </w:r>
      <w:r w:rsidR="00BE78D5" w:rsidRPr="00BE78D5">
        <w:rPr>
          <w:rFonts w:hint="eastAsia"/>
          <w:u w:val="single"/>
        </w:rPr>
        <w:t>（株式投資家による反応を分析）</w:t>
      </w:r>
    </w:p>
    <w:p w14:paraId="5ABAABF4" w14:textId="1EC667FB" w:rsidR="00FE35E4" w:rsidRDefault="00382924" w:rsidP="00FE35E4">
      <w:pPr>
        <w:rPr>
          <w:rFonts w:hint="eastAsia"/>
        </w:rPr>
      </w:pPr>
      <w:r>
        <w:rPr>
          <w:rFonts w:hint="eastAsia"/>
        </w:rPr>
        <w:t xml:space="preserve">　</w:t>
      </w:r>
      <w:r w:rsidR="00FE35E4">
        <w:rPr>
          <w:rFonts w:hint="eastAsia"/>
        </w:rPr>
        <w:t>本検証を行うため、ここではイベントスタディの手法を用いている。イベントスタディの手</w:t>
      </w:r>
      <w:r w:rsidR="00BE78D5">
        <w:rPr>
          <w:rFonts w:hint="eastAsia"/>
        </w:rPr>
        <w:t>法は、あるイベントの発表に伴う株価の反応を調べるものである。本件</w:t>
      </w:r>
      <w:r w:rsidR="00FE35E4">
        <w:rPr>
          <w:rFonts w:hint="eastAsia"/>
        </w:rPr>
        <w:t>では、この手法を用いて、企業のグリーンボンド発行の発表に対して株式市場がどのような反応を示すかを検証する。企業がグリーンボンドを発行すると発表した日、つまり</w:t>
      </w:r>
      <w:r w:rsidR="00196643">
        <w:rPr>
          <w:rFonts w:hint="eastAsia"/>
        </w:rPr>
        <w:t>発行の</w:t>
      </w:r>
      <w:r w:rsidR="00FE35E4">
        <w:rPr>
          <w:rFonts w:hint="eastAsia"/>
        </w:rPr>
        <w:t>発表日は、市場に情報が提供された日であ</w:t>
      </w:r>
      <w:r w:rsidR="009C1289">
        <w:rPr>
          <w:rFonts w:hint="eastAsia"/>
        </w:rPr>
        <w:t>り、この</w:t>
      </w:r>
      <w:r w:rsidR="00FE35E4">
        <w:rPr>
          <w:rFonts w:hint="eastAsia"/>
        </w:rPr>
        <w:t>発表日をイ</w:t>
      </w:r>
      <w:r w:rsidR="008C7D7D">
        <w:rPr>
          <w:rFonts w:hint="eastAsia"/>
        </w:rPr>
        <w:t>ベント</w:t>
      </w:r>
      <w:r w:rsidR="009C1289">
        <w:rPr>
          <w:rFonts w:hint="eastAsia"/>
        </w:rPr>
        <w:t>日</w:t>
      </w:r>
      <w:r w:rsidR="00FE35E4">
        <w:rPr>
          <w:rFonts w:hint="eastAsia"/>
        </w:rPr>
        <w:t>（</w:t>
      </w:r>
      <w:r w:rsidR="00FE35E4">
        <w:rPr>
          <w:rFonts w:hint="eastAsia"/>
        </w:rPr>
        <w:t>0</w:t>
      </w:r>
      <w:r w:rsidR="00FE35E4">
        <w:rPr>
          <w:rFonts w:hint="eastAsia"/>
        </w:rPr>
        <w:t>日目）とする。</w:t>
      </w:r>
      <w:r w:rsidR="009C1289">
        <w:rPr>
          <w:rFonts w:hint="eastAsia"/>
        </w:rPr>
        <w:t>本検証では、イベント日を基準に、</w:t>
      </w:r>
      <w:r w:rsidR="00FE35E4">
        <w:rPr>
          <w:rFonts w:hint="eastAsia"/>
        </w:rPr>
        <w:lastRenderedPageBreak/>
        <w:t>5</w:t>
      </w:r>
      <w:r w:rsidR="009C1289">
        <w:rPr>
          <w:rFonts w:hint="eastAsia"/>
        </w:rPr>
        <w:t>営業日前から</w:t>
      </w:r>
      <w:r w:rsidR="00FE35E4">
        <w:rPr>
          <w:rFonts w:hint="eastAsia"/>
        </w:rPr>
        <w:t>10</w:t>
      </w:r>
      <w:r w:rsidR="009C1289">
        <w:rPr>
          <w:rFonts w:hint="eastAsia"/>
        </w:rPr>
        <w:t>営業日</w:t>
      </w:r>
      <w:r w:rsidR="00FE35E4">
        <w:rPr>
          <w:rFonts w:hint="eastAsia"/>
        </w:rPr>
        <w:t>後</w:t>
      </w:r>
      <w:r w:rsidR="00BE78D5">
        <w:rPr>
          <w:rFonts w:hint="eastAsia"/>
        </w:rPr>
        <w:t>の</w:t>
      </w:r>
      <w:r w:rsidR="00BE78D5">
        <w:rPr>
          <w:rFonts w:hint="eastAsia"/>
        </w:rPr>
        <w:t>16</w:t>
      </w:r>
      <w:r w:rsidR="00BE78D5">
        <w:rPr>
          <w:rFonts w:hint="eastAsia"/>
        </w:rPr>
        <w:t>営業日の</w:t>
      </w:r>
      <w:r w:rsidR="00196643">
        <w:rPr>
          <w:rFonts w:hint="eastAsia"/>
        </w:rPr>
        <w:t>累積アブノーマルリターン（</w:t>
      </w:r>
      <w:r w:rsidR="00196643">
        <w:rPr>
          <w:rFonts w:hint="eastAsia"/>
        </w:rPr>
        <w:t>CAR</w:t>
      </w:r>
      <w:r w:rsidR="00196643">
        <w:rPr>
          <w:rFonts w:hint="eastAsia"/>
        </w:rPr>
        <w:t>）の</w:t>
      </w:r>
      <w:r w:rsidR="009C1289">
        <w:rPr>
          <w:rFonts w:hint="eastAsia"/>
        </w:rPr>
        <w:t>分析</w:t>
      </w:r>
      <w:r w:rsidR="00BE78D5">
        <w:rPr>
          <w:rFonts w:hint="eastAsia"/>
        </w:rPr>
        <w:t>している</w:t>
      </w:r>
      <w:r w:rsidR="009C1289">
        <w:rPr>
          <w:rFonts w:hint="eastAsia"/>
        </w:rPr>
        <w:t>。</w:t>
      </w:r>
      <w:r w:rsidR="00BE78D5">
        <w:rPr>
          <w:rFonts w:hint="eastAsia"/>
        </w:rPr>
        <w:t>5</w:t>
      </w:r>
      <w:r w:rsidR="00BE78D5">
        <w:rPr>
          <w:rFonts w:hint="eastAsia"/>
        </w:rPr>
        <w:t>営業日前からデータを含めることで発表前に情報が漏洩されていた可能性を考慮している。この</w:t>
      </w:r>
      <w:r w:rsidR="00BE78D5">
        <w:t>16</w:t>
      </w:r>
      <w:r w:rsidR="00BE78D5">
        <w:rPr>
          <w:rFonts w:hint="eastAsia"/>
        </w:rPr>
        <w:t>営業日の検証期間をベースラインのイベントウィンドウ</w:t>
      </w:r>
      <w:r w:rsidR="00FE35E4">
        <w:rPr>
          <w:rFonts w:hint="eastAsia"/>
        </w:rPr>
        <w:t xml:space="preserve">[-5, </w:t>
      </w:r>
      <w:r w:rsidR="00FE35E4">
        <w:t>10]</w:t>
      </w:r>
      <w:r w:rsidR="009C1289">
        <w:rPr>
          <w:rFonts w:hint="eastAsia"/>
        </w:rPr>
        <w:t>と表現し、当</w:t>
      </w:r>
      <w:r w:rsidR="00FE35E4">
        <w:rPr>
          <w:rFonts w:hint="eastAsia"/>
        </w:rPr>
        <w:t>イベ</w:t>
      </w:r>
      <w:r w:rsidR="00B67745">
        <w:rPr>
          <w:rFonts w:hint="eastAsia"/>
        </w:rPr>
        <w:t>ントウィンドウで株価の上昇があるかどうかの分析</w:t>
      </w:r>
      <w:r w:rsidR="009C1289">
        <w:rPr>
          <w:rFonts w:hint="eastAsia"/>
        </w:rPr>
        <w:t>を実</w:t>
      </w:r>
      <w:r w:rsidR="00B67745">
        <w:rPr>
          <w:rFonts w:hint="eastAsia"/>
        </w:rPr>
        <w:t>施した。また、比較可能にするため、他のイベントウィンドウも検証をしている</w:t>
      </w:r>
      <w:r>
        <w:rPr>
          <w:rFonts w:hint="eastAsia"/>
        </w:rPr>
        <w:t>。</w:t>
      </w:r>
      <w:r w:rsidR="00675EBA">
        <w:rPr>
          <w:rFonts w:hint="eastAsia"/>
        </w:rPr>
        <w:t>本分析は、株式市場の分析であるため、詳述な分析手法については元論文を参照されたい。</w:t>
      </w:r>
    </w:p>
    <w:p w14:paraId="46639EDF" w14:textId="77777777" w:rsidR="00FE35E4" w:rsidRDefault="00FE35E4" w:rsidP="00FE35E4">
      <w:pPr>
        <w:rPr>
          <w:rFonts w:hint="eastAsia"/>
        </w:rPr>
      </w:pPr>
    </w:p>
    <w:p w14:paraId="62769DF5" w14:textId="468D3D9A" w:rsidR="002021BD" w:rsidRDefault="002021BD" w:rsidP="002021BD">
      <w:pPr>
        <w:jc w:val="center"/>
        <w:rPr>
          <w:rFonts w:hint="eastAsia"/>
        </w:rPr>
      </w:pPr>
      <w:r>
        <w:rPr>
          <w:rFonts w:hint="eastAsia"/>
        </w:rPr>
        <w:t>各イベントウィンドウの累積アブノーマルリターン</w:t>
      </w:r>
    </w:p>
    <w:tbl>
      <w:tblPr>
        <w:tblW w:w="4620" w:type="dxa"/>
        <w:jc w:val="center"/>
        <w:tblInd w:w="84" w:type="dxa"/>
        <w:tblCellMar>
          <w:left w:w="99" w:type="dxa"/>
          <w:right w:w="99" w:type="dxa"/>
        </w:tblCellMar>
        <w:tblLook w:val="04A0" w:firstRow="1" w:lastRow="0" w:firstColumn="1" w:lastColumn="0" w:noHBand="0" w:noVBand="1"/>
      </w:tblPr>
      <w:tblGrid>
        <w:gridCol w:w="1540"/>
        <w:gridCol w:w="1540"/>
        <w:gridCol w:w="1540"/>
      </w:tblGrid>
      <w:tr w:rsidR="002021BD" w:rsidRPr="002021BD" w14:paraId="76908D6B" w14:textId="77777777" w:rsidTr="002021BD">
        <w:trPr>
          <w:trHeight w:val="36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68150" w14:textId="77777777" w:rsidR="002021BD" w:rsidRPr="002021BD" w:rsidRDefault="002021BD" w:rsidP="002021BD">
            <w:pPr>
              <w:widowControl/>
              <w:jc w:val="center"/>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Event time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4DBCFB4" w14:textId="77777777" w:rsidR="002021BD" w:rsidRPr="002021BD" w:rsidRDefault="002021BD" w:rsidP="002021BD">
            <w:pPr>
              <w:widowControl/>
              <w:jc w:val="center"/>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CAR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FBBE6C2" w14:textId="77777777" w:rsidR="002021BD" w:rsidRPr="002021BD" w:rsidRDefault="002021BD" w:rsidP="002021BD">
            <w:pPr>
              <w:widowControl/>
              <w:jc w:val="center"/>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Std. err.</w:t>
            </w:r>
          </w:p>
        </w:tc>
      </w:tr>
      <w:tr w:rsidR="002021BD" w:rsidRPr="002021BD" w14:paraId="209BB2D0" w14:textId="77777777" w:rsidTr="002021B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28E461F" w14:textId="77777777" w:rsidR="002021BD" w:rsidRPr="002021BD" w:rsidRDefault="002021BD" w:rsidP="002021BD">
            <w:pPr>
              <w:widowControl/>
              <w:jc w:val="center"/>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 xml:space="preserve">[–20, –11] </w:t>
            </w:r>
          </w:p>
        </w:tc>
        <w:tc>
          <w:tcPr>
            <w:tcW w:w="1540" w:type="dxa"/>
            <w:tcBorders>
              <w:top w:val="nil"/>
              <w:left w:val="nil"/>
              <w:bottom w:val="single" w:sz="4" w:space="0" w:color="auto"/>
              <w:right w:val="single" w:sz="4" w:space="0" w:color="auto"/>
            </w:tcBorders>
            <w:shd w:val="clear" w:color="auto" w:fill="auto"/>
            <w:noWrap/>
            <w:vAlign w:val="bottom"/>
            <w:hideMark/>
          </w:tcPr>
          <w:p w14:paraId="4724DDAA"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 xml:space="preserve">−0.129 </w:t>
            </w:r>
          </w:p>
        </w:tc>
        <w:tc>
          <w:tcPr>
            <w:tcW w:w="1540" w:type="dxa"/>
            <w:tcBorders>
              <w:top w:val="nil"/>
              <w:left w:val="nil"/>
              <w:bottom w:val="single" w:sz="4" w:space="0" w:color="auto"/>
              <w:right w:val="single" w:sz="4" w:space="0" w:color="auto"/>
            </w:tcBorders>
            <w:shd w:val="clear" w:color="auto" w:fill="auto"/>
            <w:noWrap/>
            <w:vAlign w:val="bottom"/>
            <w:hideMark/>
          </w:tcPr>
          <w:p w14:paraId="6C58AAC2"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0.157</w:t>
            </w:r>
          </w:p>
        </w:tc>
      </w:tr>
      <w:tr w:rsidR="002021BD" w:rsidRPr="002021BD" w14:paraId="7E2F002A" w14:textId="77777777" w:rsidTr="002021B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027A36B" w14:textId="77777777" w:rsidR="002021BD" w:rsidRPr="002021BD" w:rsidRDefault="002021BD" w:rsidP="002021BD">
            <w:pPr>
              <w:widowControl/>
              <w:jc w:val="center"/>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 xml:space="preserve">[–10, –6] </w:t>
            </w:r>
          </w:p>
        </w:tc>
        <w:tc>
          <w:tcPr>
            <w:tcW w:w="1540" w:type="dxa"/>
            <w:tcBorders>
              <w:top w:val="nil"/>
              <w:left w:val="nil"/>
              <w:bottom w:val="single" w:sz="4" w:space="0" w:color="auto"/>
              <w:right w:val="single" w:sz="4" w:space="0" w:color="auto"/>
            </w:tcBorders>
            <w:shd w:val="clear" w:color="auto" w:fill="auto"/>
            <w:noWrap/>
            <w:vAlign w:val="bottom"/>
            <w:hideMark/>
          </w:tcPr>
          <w:p w14:paraId="5BB4E8C8"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0.051</w:t>
            </w:r>
          </w:p>
        </w:tc>
        <w:tc>
          <w:tcPr>
            <w:tcW w:w="1540" w:type="dxa"/>
            <w:tcBorders>
              <w:top w:val="nil"/>
              <w:left w:val="nil"/>
              <w:bottom w:val="single" w:sz="4" w:space="0" w:color="auto"/>
              <w:right w:val="single" w:sz="4" w:space="0" w:color="auto"/>
            </w:tcBorders>
            <w:shd w:val="clear" w:color="auto" w:fill="auto"/>
            <w:noWrap/>
            <w:vAlign w:val="bottom"/>
            <w:hideMark/>
          </w:tcPr>
          <w:p w14:paraId="4653213D"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0.245</w:t>
            </w:r>
          </w:p>
        </w:tc>
      </w:tr>
      <w:tr w:rsidR="002021BD" w:rsidRPr="002021BD" w14:paraId="234F8FEC" w14:textId="77777777" w:rsidTr="002021B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C2657BF" w14:textId="77777777" w:rsidR="002021BD" w:rsidRPr="002021BD" w:rsidRDefault="002021BD" w:rsidP="002021BD">
            <w:pPr>
              <w:widowControl/>
              <w:jc w:val="center"/>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 xml:space="preserve">[–5, 10] </w:t>
            </w:r>
          </w:p>
        </w:tc>
        <w:tc>
          <w:tcPr>
            <w:tcW w:w="1540" w:type="dxa"/>
            <w:tcBorders>
              <w:top w:val="nil"/>
              <w:left w:val="nil"/>
              <w:bottom w:val="single" w:sz="4" w:space="0" w:color="auto"/>
              <w:right w:val="single" w:sz="4" w:space="0" w:color="auto"/>
            </w:tcBorders>
            <w:shd w:val="clear" w:color="auto" w:fill="auto"/>
            <w:noWrap/>
            <w:vAlign w:val="bottom"/>
            <w:hideMark/>
          </w:tcPr>
          <w:p w14:paraId="16012A68"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0.489∗∗</w:t>
            </w:r>
          </w:p>
        </w:tc>
        <w:tc>
          <w:tcPr>
            <w:tcW w:w="1540" w:type="dxa"/>
            <w:tcBorders>
              <w:top w:val="nil"/>
              <w:left w:val="nil"/>
              <w:bottom w:val="single" w:sz="4" w:space="0" w:color="auto"/>
              <w:right w:val="single" w:sz="4" w:space="0" w:color="auto"/>
            </w:tcBorders>
            <w:shd w:val="clear" w:color="auto" w:fill="auto"/>
            <w:noWrap/>
            <w:vAlign w:val="bottom"/>
            <w:hideMark/>
          </w:tcPr>
          <w:p w14:paraId="45C4A089"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0.241</w:t>
            </w:r>
          </w:p>
        </w:tc>
      </w:tr>
      <w:tr w:rsidR="002021BD" w:rsidRPr="002021BD" w14:paraId="04E3928A" w14:textId="77777777" w:rsidTr="002021B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E5116A5" w14:textId="77777777" w:rsidR="002021BD" w:rsidRPr="002021BD" w:rsidRDefault="002021BD" w:rsidP="002021BD">
            <w:pPr>
              <w:widowControl/>
              <w:jc w:val="center"/>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 xml:space="preserve">[11, 20] </w:t>
            </w:r>
          </w:p>
        </w:tc>
        <w:tc>
          <w:tcPr>
            <w:tcW w:w="1540" w:type="dxa"/>
            <w:tcBorders>
              <w:top w:val="nil"/>
              <w:left w:val="nil"/>
              <w:bottom w:val="single" w:sz="4" w:space="0" w:color="auto"/>
              <w:right w:val="single" w:sz="4" w:space="0" w:color="auto"/>
            </w:tcBorders>
            <w:shd w:val="clear" w:color="auto" w:fill="auto"/>
            <w:noWrap/>
            <w:vAlign w:val="bottom"/>
            <w:hideMark/>
          </w:tcPr>
          <w:p w14:paraId="47DE7D7A"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−0.029</w:t>
            </w:r>
          </w:p>
        </w:tc>
        <w:tc>
          <w:tcPr>
            <w:tcW w:w="1540" w:type="dxa"/>
            <w:tcBorders>
              <w:top w:val="nil"/>
              <w:left w:val="nil"/>
              <w:bottom w:val="single" w:sz="4" w:space="0" w:color="auto"/>
              <w:right w:val="single" w:sz="4" w:space="0" w:color="auto"/>
            </w:tcBorders>
            <w:shd w:val="clear" w:color="auto" w:fill="auto"/>
            <w:noWrap/>
            <w:vAlign w:val="bottom"/>
            <w:hideMark/>
          </w:tcPr>
          <w:p w14:paraId="3D807A60"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0.218</w:t>
            </w:r>
          </w:p>
        </w:tc>
      </w:tr>
      <w:tr w:rsidR="002021BD" w:rsidRPr="002021BD" w14:paraId="58F25AEB" w14:textId="77777777" w:rsidTr="002021BD">
        <w:trPr>
          <w:trHeight w:val="36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9796D8F" w14:textId="77777777" w:rsidR="002021BD" w:rsidRPr="002021BD" w:rsidRDefault="002021BD" w:rsidP="002021BD">
            <w:pPr>
              <w:widowControl/>
              <w:jc w:val="center"/>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[21, 60]</w:t>
            </w:r>
          </w:p>
        </w:tc>
        <w:tc>
          <w:tcPr>
            <w:tcW w:w="1540" w:type="dxa"/>
            <w:tcBorders>
              <w:top w:val="nil"/>
              <w:left w:val="nil"/>
              <w:bottom w:val="single" w:sz="4" w:space="0" w:color="auto"/>
              <w:right w:val="single" w:sz="4" w:space="0" w:color="auto"/>
            </w:tcBorders>
            <w:shd w:val="clear" w:color="auto" w:fill="auto"/>
            <w:noWrap/>
            <w:vAlign w:val="bottom"/>
            <w:hideMark/>
          </w:tcPr>
          <w:p w14:paraId="326CCDFB"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−0.122</w:t>
            </w:r>
          </w:p>
        </w:tc>
        <w:tc>
          <w:tcPr>
            <w:tcW w:w="1540" w:type="dxa"/>
            <w:tcBorders>
              <w:top w:val="nil"/>
              <w:left w:val="nil"/>
              <w:bottom w:val="single" w:sz="4" w:space="0" w:color="auto"/>
              <w:right w:val="single" w:sz="4" w:space="0" w:color="auto"/>
            </w:tcBorders>
            <w:shd w:val="clear" w:color="auto" w:fill="auto"/>
            <w:noWrap/>
            <w:vAlign w:val="bottom"/>
            <w:hideMark/>
          </w:tcPr>
          <w:p w14:paraId="1326F785" w14:textId="77777777" w:rsidR="002021BD" w:rsidRPr="002021BD" w:rsidRDefault="002021BD" w:rsidP="002021BD">
            <w:pPr>
              <w:widowControl/>
              <w:jc w:val="right"/>
              <w:rPr>
                <w:rFonts w:ascii="ＭＳ 明朝" w:eastAsia="ＭＳ 明朝" w:hAnsi="ＭＳ 明朝" w:cs="Times New Roman"/>
                <w:color w:val="000000"/>
                <w:kern w:val="0"/>
              </w:rPr>
            </w:pPr>
            <w:r w:rsidRPr="002021BD">
              <w:rPr>
                <w:rFonts w:ascii="ＭＳ 明朝" w:eastAsia="ＭＳ 明朝" w:hAnsi="ＭＳ 明朝" w:cs="Times New Roman" w:hint="eastAsia"/>
                <w:color w:val="000000"/>
                <w:kern w:val="0"/>
              </w:rPr>
              <w:t>0.645</w:t>
            </w:r>
          </w:p>
        </w:tc>
      </w:tr>
    </w:tbl>
    <w:p w14:paraId="6496CCA6" w14:textId="797D0285" w:rsidR="002021BD" w:rsidRDefault="002021BD" w:rsidP="00B67745">
      <w:pPr>
        <w:rPr>
          <w:rFonts w:hint="eastAsia"/>
        </w:rPr>
      </w:pPr>
    </w:p>
    <w:p w14:paraId="2F530E4D" w14:textId="5C0A9D00" w:rsidR="00FE35E4" w:rsidRDefault="00196643" w:rsidP="00FE35E4">
      <w:pPr>
        <w:rPr>
          <w:rFonts w:hint="eastAsia"/>
        </w:rPr>
      </w:pPr>
      <w:r>
        <w:rPr>
          <w:rFonts w:hint="eastAsia"/>
        </w:rPr>
        <w:t xml:space="preserve">　以上より、</w:t>
      </w:r>
      <w:r w:rsidR="009C1289">
        <w:rPr>
          <w:rFonts w:hint="eastAsia"/>
        </w:rPr>
        <w:t>株式市場</w:t>
      </w:r>
      <w:r w:rsidR="00B67745">
        <w:rPr>
          <w:rFonts w:hint="eastAsia"/>
        </w:rPr>
        <w:t>で</w:t>
      </w:r>
      <w:r w:rsidR="009C1289">
        <w:rPr>
          <w:rFonts w:hint="eastAsia"/>
        </w:rPr>
        <w:t>は</w:t>
      </w:r>
      <w:r w:rsidR="00B67745">
        <w:rPr>
          <w:rFonts w:hint="eastAsia"/>
        </w:rPr>
        <w:t>グリーンボンドにおける発行の発表に対して</w:t>
      </w:r>
      <w:r w:rsidR="009C1289">
        <w:rPr>
          <w:rFonts w:hint="eastAsia"/>
        </w:rPr>
        <w:t>ポジティブに反応し</w:t>
      </w:r>
      <w:r>
        <w:rPr>
          <w:rFonts w:hint="eastAsia"/>
        </w:rPr>
        <w:t>た結果</w:t>
      </w:r>
      <w:r w:rsidR="009C1289">
        <w:rPr>
          <w:rFonts w:hint="eastAsia"/>
        </w:rPr>
        <w:t>、</w:t>
      </w:r>
      <w:r w:rsidR="00B67745">
        <w:rPr>
          <w:rFonts w:hint="eastAsia"/>
        </w:rPr>
        <w:t>イベントウィンドウ</w:t>
      </w:r>
      <w:r w:rsidR="00B67745">
        <w:rPr>
          <w:rFonts w:hint="eastAsia"/>
        </w:rPr>
        <w:t xml:space="preserve">[-5, </w:t>
      </w:r>
      <w:r w:rsidR="00B67745">
        <w:t>10]</w:t>
      </w:r>
      <w:r w:rsidR="00B67745">
        <w:rPr>
          <w:rFonts w:hint="eastAsia"/>
        </w:rPr>
        <w:t>における</w:t>
      </w:r>
      <w:r w:rsidR="009C1289">
        <w:rPr>
          <w:rFonts w:hint="eastAsia"/>
        </w:rPr>
        <w:t>、累積</w:t>
      </w:r>
      <w:r>
        <w:rPr>
          <w:rFonts w:hint="eastAsia"/>
        </w:rPr>
        <w:t>アブノーマルリターン</w:t>
      </w:r>
      <w:r w:rsidR="00B67745">
        <w:rPr>
          <w:rFonts w:hint="eastAsia"/>
        </w:rPr>
        <w:t>は</w:t>
      </w:r>
      <w:r w:rsidR="009C1289">
        <w:rPr>
          <w:rFonts w:hint="eastAsia"/>
        </w:rPr>
        <w:t>0.49%</w:t>
      </w:r>
      <w:r w:rsidR="00B67745">
        <w:rPr>
          <w:rFonts w:hint="eastAsia"/>
        </w:rPr>
        <w:t>であり</w:t>
      </w:r>
      <w:r w:rsidR="009C1289">
        <w:rPr>
          <w:rFonts w:hint="eastAsia"/>
        </w:rPr>
        <w:t>、</w:t>
      </w:r>
      <w:r w:rsidR="009C1289">
        <w:rPr>
          <w:rFonts w:hint="eastAsia"/>
        </w:rPr>
        <w:t>5%</w:t>
      </w:r>
      <w:r w:rsidR="009C1289">
        <w:rPr>
          <w:rFonts w:hint="eastAsia"/>
        </w:rPr>
        <w:t>水準でゼロと有意に異なることが分かった。</w:t>
      </w:r>
    </w:p>
    <w:p w14:paraId="20587D1C" w14:textId="77777777" w:rsidR="00FE35E4" w:rsidRDefault="00FE35E4" w:rsidP="00FE35E4">
      <w:pPr>
        <w:rPr>
          <w:rFonts w:hint="eastAsia"/>
        </w:rPr>
      </w:pPr>
    </w:p>
    <w:p w14:paraId="7384F45F" w14:textId="4E1BC569" w:rsidR="00FE35E4" w:rsidRPr="00B67745" w:rsidRDefault="00FE35E4" w:rsidP="00FE35E4">
      <w:pPr>
        <w:pStyle w:val="a3"/>
        <w:numPr>
          <w:ilvl w:val="0"/>
          <w:numId w:val="2"/>
        </w:numPr>
        <w:ind w:leftChars="0"/>
        <w:rPr>
          <w:rFonts w:hint="eastAsia"/>
          <w:u w:val="single"/>
        </w:rPr>
      </w:pPr>
      <w:r w:rsidRPr="00B67745">
        <w:rPr>
          <w:rFonts w:hint="eastAsia"/>
          <w:u w:val="single"/>
        </w:rPr>
        <w:t>グリーンボンド</w:t>
      </w:r>
      <w:r w:rsidRPr="00B67745">
        <w:rPr>
          <w:rFonts w:hint="eastAsia"/>
          <w:u w:val="single"/>
        </w:rPr>
        <w:t xml:space="preserve"> </w:t>
      </w:r>
      <w:r w:rsidRPr="00B67745">
        <w:rPr>
          <w:rFonts w:hint="eastAsia"/>
          <w:u w:val="single"/>
        </w:rPr>
        <w:t>を発行している企業の環境パフォーマンスの検証（グリーンウォッシングの論点）</w:t>
      </w:r>
    </w:p>
    <w:p w14:paraId="47CC310C" w14:textId="57AE7C31" w:rsidR="00AA68D3" w:rsidRDefault="00272F34" w:rsidP="00FE35E4">
      <w:pPr>
        <w:rPr>
          <w:rFonts w:ascii="ＭＳ 明朝" w:eastAsia="ＭＳ 明朝" w:hAnsi="ＭＳ 明朝" w:cs="Times New Roman" w:hint="eastAsia"/>
          <w:color w:val="000000"/>
          <w:kern w:val="0"/>
        </w:rPr>
      </w:pPr>
      <w:r>
        <w:rPr>
          <w:rFonts w:hint="eastAsia"/>
        </w:rPr>
        <w:t xml:space="preserve">　</w:t>
      </w:r>
      <w:r w:rsidR="00D57B4D">
        <w:rPr>
          <w:rFonts w:hint="eastAsia"/>
        </w:rPr>
        <w:t>本検証は、グリーンボンド</w:t>
      </w:r>
      <w:r w:rsidR="00D57B4D">
        <w:rPr>
          <w:rFonts w:hint="eastAsia"/>
        </w:rPr>
        <w:t xml:space="preserve"> </w:t>
      </w:r>
      <w:r w:rsidR="00D57B4D">
        <w:rPr>
          <w:rFonts w:hint="eastAsia"/>
        </w:rPr>
        <w:t>の発行と企業の環境パフォーマンス</w:t>
      </w:r>
      <w:r>
        <w:rPr>
          <w:rFonts w:hint="eastAsia"/>
        </w:rPr>
        <w:t>の分析を行っている。すなわち、グリーンボンドの発行によって、企業の環境パフォーマンスが向上されているかを分析しており、グリーンウォッシングが起きて</w:t>
      </w:r>
      <w:r w:rsidR="00731A09">
        <w:rPr>
          <w:rFonts w:hint="eastAsia"/>
        </w:rPr>
        <w:t>いないかの検証を行っている。ここでは、環境パフォーマンスの変数を</w:t>
      </w:r>
      <w:r>
        <w:rPr>
          <w:rFonts w:hint="eastAsia"/>
        </w:rPr>
        <w:t>、</w:t>
      </w:r>
      <w:r>
        <w:rPr>
          <w:rFonts w:ascii="ＭＳ 明朝" w:eastAsia="ＭＳ 明朝" w:hAnsi="ＭＳ 明朝" w:cs="Times New Roman" w:hint="eastAsia"/>
          <w:color w:val="000000"/>
          <w:kern w:val="0"/>
        </w:rPr>
        <w:t>Thomson Reuter</w:t>
      </w:r>
      <w:r w:rsidRPr="00CA4692">
        <w:rPr>
          <w:rFonts w:ascii="ＭＳ 明朝" w:eastAsia="ＭＳ 明朝" w:hAnsi="ＭＳ 明朝" w:cs="Times New Roman" w:hint="eastAsia"/>
          <w:color w:val="000000"/>
          <w:kern w:val="0"/>
        </w:rPr>
        <w:t xml:space="preserve"> ASSET4</w:t>
      </w:r>
      <w:r>
        <w:rPr>
          <w:rFonts w:ascii="ＭＳ 明朝" w:eastAsia="ＭＳ 明朝" w:hAnsi="ＭＳ 明朝" w:cs="Times New Roman" w:hint="eastAsia"/>
          <w:color w:val="000000"/>
          <w:kern w:val="0"/>
        </w:rPr>
        <w:t>に収録されている</w:t>
      </w:r>
      <w:r>
        <w:rPr>
          <w:rFonts w:ascii="ＭＳ 明朝" w:eastAsia="ＭＳ 明朝" w:hAnsi="ＭＳ 明朝" w:cs="Times New Roman"/>
          <w:color w:val="000000"/>
          <w:kern w:val="0"/>
        </w:rPr>
        <w:t>ESG</w:t>
      </w:r>
      <w:r>
        <w:rPr>
          <w:rFonts w:ascii="ＭＳ 明朝" w:eastAsia="ＭＳ 明朝" w:hAnsi="ＭＳ 明朝" w:cs="Times New Roman" w:hint="eastAsia"/>
          <w:color w:val="000000"/>
          <w:kern w:val="0"/>
        </w:rPr>
        <w:t>レーティングと</w:t>
      </w:r>
      <w:r>
        <w:rPr>
          <w:rFonts w:ascii="ＭＳ 明朝" w:eastAsia="ＭＳ 明朝" w:hAnsi="ＭＳ 明朝" w:cs="Times New Roman"/>
          <w:color w:val="000000"/>
          <w:kern w:val="0"/>
        </w:rPr>
        <w:t>CO2</w:t>
      </w:r>
      <w:r>
        <w:rPr>
          <w:rFonts w:ascii="ＭＳ 明朝" w:eastAsia="ＭＳ 明朝" w:hAnsi="ＭＳ 明朝" w:cs="Times New Roman" w:hint="eastAsia"/>
          <w:color w:val="000000"/>
          <w:kern w:val="0"/>
        </w:rPr>
        <w:t>排出量を使用している。</w:t>
      </w:r>
    </w:p>
    <w:p w14:paraId="2548E406" w14:textId="6DD5FF9D" w:rsidR="00D57B4D" w:rsidRDefault="00566705" w:rsidP="00FE35E4">
      <w:pPr>
        <w:rPr>
          <w:rFonts w:hint="eastAsia"/>
        </w:rPr>
      </w:pPr>
      <w:r>
        <w:rPr>
          <w:rFonts w:ascii="ＭＳ 明朝" w:eastAsia="ＭＳ 明朝" w:hAnsi="ＭＳ 明朝" w:cs="Times New Roman" w:hint="eastAsia"/>
          <w:color w:val="000000"/>
          <w:kern w:val="0"/>
        </w:rPr>
        <w:t>分析方法は、以下の回帰式</w:t>
      </w:r>
      <w:r w:rsidR="00272F34">
        <w:rPr>
          <w:rFonts w:ascii="ＭＳ 明朝" w:eastAsia="ＭＳ 明朝" w:hAnsi="ＭＳ 明朝" w:cs="Times New Roman" w:hint="eastAsia"/>
          <w:color w:val="000000"/>
          <w:kern w:val="0"/>
        </w:rPr>
        <w:t>となっており、最小二乗法による推定を行っている。</w:t>
      </w:r>
    </w:p>
    <w:p w14:paraId="78608A6D" w14:textId="77777777" w:rsidR="00D57B4D" w:rsidRDefault="00D57B4D" w:rsidP="00FE35E4">
      <w:pPr>
        <w:rPr>
          <w:rFonts w:hint="eastAsia"/>
        </w:rPr>
      </w:pPr>
    </w:p>
    <w:p w14:paraId="5E88F510" w14:textId="5D6D0FFE" w:rsidR="00481421" w:rsidRDefault="00994377" w:rsidP="00FE35E4">
      <w:pPr>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 xml:space="preserve"> + β × </m:t>
          </m:r>
          <m:sSub>
            <m:sSubPr>
              <m:ctrlPr>
                <w:rPr>
                  <w:rFonts w:ascii="Cambria Math" w:hAnsi="Cambria Math"/>
                  <w:i/>
                </w:rPr>
              </m:ctrlPr>
            </m:sSubPr>
            <m:e>
              <m:r>
                <w:rPr>
                  <w:rFonts w:ascii="Cambria Math" w:hAnsi="Cambria Math"/>
                </w:rPr>
                <m:t xml:space="preserve">Green </m:t>
              </m:r>
              <m:r>
                <w:rPr>
                  <w:rFonts w:ascii="Cambria Math" w:hAnsi="Cambria Math"/>
                </w:rPr>
                <m:t>bond</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 xml:space="preserve"> </m:t>
          </m:r>
        </m:oMath>
      </m:oMathPara>
    </w:p>
    <w:p w14:paraId="472E5196" w14:textId="77777777" w:rsidR="00481421" w:rsidRDefault="00481421" w:rsidP="00FE35E4">
      <w:pPr>
        <w:rPr>
          <w:rFonts w:hint="eastAsia"/>
        </w:rPr>
      </w:pPr>
    </w:p>
    <w:p w14:paraId="6E1E8E60" w14:textId="292D8424" w:rsidR="00D57B4D" w:rsidRDefault="00D57B4D" w:rsidP="00D57B4D">
      <w:pPr>
        <w:rPr>
          <w:rFonts w:hint="eastAsia"/>
        </w:rPr>
      </w:pPr>
      <w:r>
        <w:rPr>
          <w:rFonts w:hint="eastAsia"/>
        </w:rPr>
        <w:t>ここで、</w:t>
      </w:r>
      <m:oMath>
        <m:r>
          <w:rPr>
            <w:rFonts w:ascii="Cambria Math" w:hAnsi="Cambria Math"/>
          </w:rPr>
          <m:t>i</m:t>
        </m:r>
      </m:oMath>
      <w:r>
        <w:rPr>
          <w:rFonts w:hint="eastAsia"/>
        </w:rPr>
        <w:t>は企業、</w:t>
      </w:r>
      <m:oMath>
        <m:r>
          <w:rPr>
            <w:rFonts w:ascii="Cambria Math" w:hAnsi="Cambria Math"/>
          </w:rPr>
          <m:t>t</m:t>
        </m:r>
      </m:oMath>
      <w:r>
        <w:rPr>
          <w:rFonts w:hint="eastAsia"/>
        </w:rPr>
        <w:t>は年、</w:t>
      </w:r>
      <m:oMath>
        <m:r>
          <w:rPr>
            <w:rFonts w:ascii="Cambria Math" w:hAnsi="Cambria Math"/>
          </w:rPr>
          <m:t>c</m:t>
        </m:r>
      </m:oMath>
      <w:r>
        <w:rPr>
          <w:rFonts w:hint="eastAsia"/>
        </w:rPr>
        <w:t>は国、</w:t>
      </w:r>
      <m:oMath>
        <m:r>
          <w:rPr>
            <w:rFonts w:ascii="Cambria Math" w:hAnsi="Cambria Math"/>
          </w:rPr>
          <m:t>s</m:t>
        </m:r>
      </m:oMath>
      <w:r>
        <w:rPr>
          <w:rFonts w:hint="eastAsia"/>
        </w:rPr>
        <w:t>はセクターを表している</w:t>
      </w:r>
      <w:r w:rsidR="0099486F">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731A09">
        <w:rPr>
          <w:rFonts w:hint="eastAsia"/>
        </w:rPr>
        <w:t>は</w:t>
      </w:r>
      <w:r w:rsidR="00272F34">
        <w:rPr>
          <w:rFonts w:hint="eastAsia"/>
        </w:rPr>
        <w:t>、</w:t>
      </w:r>
      <m:oMath>
        <m:r>
          <w:rPr>
            <w:rFonts w:ascii="Cambria Math" w:hAnsi="Cambria Math"/>
          </w:rPr>
          <m:t>t</m:t>
        </m:r>
      </m:oMath>
      <w:r w:rsidR="0099486F">
        <w:rPr>
          <w:rFonts w:hint="eastAsia"/>
        </w:rPr>
        <w:t>年の企業</w:t>
      </w:r>
      <m:oMath>
        <m:r>
          <w:rPr>
            <w:rFonts w:ascii="Cambria Math" w:hAnsi="Cambria Math"/>
          </w:rPr>
          <m:t>i</m:t>
        </m:r>
      </m:oMath>
      <w:r w:rsidR="0099486F">
        <w:rPr>
          <w:rFonts w:hint="eastAsia"/>
        </w:rPr>
        <w:t>における環境パフォーマンスになっており、</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9486F">
        <w:rPr>
          <w:rFonts w:hint="eastAsia"/>
        </w:rPr>
        <w:t>は</w:t>
      </w:r>
      <w:r>
        <w:rPr>
          <w:rFonts w:hint="eastAsia"/>
        </w:rPr>
        <w:t>企業の固定効果、</w:t>
      </w:r>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t</m:t>
            </m:r>
          </m:sub>
        </m:sSub>
      </m:oMath>
      <w:r w:rsidR="0099486F">
        <w:rPr>
          <w:rFonts w:hint="eastAsia"/>
        </w:rPr>
        <w:t>は</w:t>
      </w:r>
      <w:r>
        <w:rPr>
          <w:rFonts w:hint="eastAsia"/>
        </w:rPr>
        <w:t>国の年別固定効果、</w:t>
      </w:r>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t</m:t>
            </m:r>
          </m:sub>
        </m:sSub>
      </m:oMath>
      <w:r w:rsidR="0099486F">
        <w:rPr>
          <w:rFonts w:hint="eastAsia"/>
        </w:rPr>
        <w:t>は</w:t>
      </w:r>
      <w:r>
        <w:rPr>
          <w:rFonts w:hint="eastAsia"/>
        </w:rPr>
        <w:t>セクターの年別固定効果、</w:t>
      </w:r>
      <m:oMath>
        <m:sSub>
          <m:sSubPr>
            <m:ctrlPr>
              <w:rPr>
                <w:rFonts w:ascii="Cambria Math" w:hAnsi="Cambria Math"/>
                <w:i/>
              </w:rPr>
            </m:ctrlPr>
          </m:sSubPr>
          <m:e>
            <m:r>
              <w:rPr>
                <w:rFonts w:ascii="Cambria Math" w:hAnsi="Cambria Math"/>
              </w:rPr>
              <m:t xml:space="preserve">Green </m:t>
            </m:r>
            <m:r>
              <w:rPr>
                <w:rFonts w:ascii="Cambria Math" w:hAnsi="Cambria Math"/>
              </w:rPr>
              <m:t>bond</m:t>
            </m:r>
          </m:e>
          <m:sub>
            <m:r>
              <w:rPr>
                <w:rFonts w:ascii="Cambria Math" w:hAnsi="Cambria Math"/>
              </w:rPr>
              <m:t>it</m:t>
            </m:r>
          </m:sub>
        </m:sSub>
      </m:oMath>
      <w:r>
        <w:rPr>
          <w:rFonts w:hint="eastAsia"/>
        </w:rPr>
        <w:t>は</w:t>
      </w:r>
      <m:oMath>
        <m:r>
          <w:rPr>
            <w:rFonts w:ascii="Cambria Math" w:hAnsi="Cambria Math"/>
          </w:rPr>
          <m:t>t</m:t>
        </m:r>
      </m:oMath>
      <w:r>
        <w:rPr>
          <w:rFonts w:hint="eastAsia"/>
        </w:rPr>
        <w:t>年までに</w:t>
      </w:r>
      <w:r w:rsidR="0099486F">
        <w:rPr>
          <w:rFonts w:hint="eastAsia"/>
        </w:rPr>
        <w:t>企業</w:t>
      </w:r>
      <m:oMath>
        <m:r>
          <w:rPr>
            <w:rFonts w:ascii="Cambria Math" w:hAnsi="Cambria Math"/>
          </w:rPr>
          <m:t>i</m:t>
        </m:r>
      </m:oMath>
      <w:r>
        <w:rPr>
          <w:rFonts w:hint="eastAsia"/>
        </w:rPr>
        <w:t>がグリーンボンドを発行すれば</w:t>
      </w:r>
      <w:r>
        <w:t>1</w:t>
      </w:r>
      <w:r>
        <w:rPr>
          <w:rFonts w:hint="eastAsia"/>
        </w:rPr>
        <w:t>、それ以外は</w:t>
      </w:r>
      <w:r>
        <w:rPr>
          <w:rFonts w:hint="eastAsia"/>
        </w:rPr>
        <w:t>0</w:t>
      </w:r>
      <w:r>
        <w:rPr>
          <w:rFonts w:hint="eastAsia"/>
        </w:rPr>
        <w:t>となるダミー変数、</w:t>
      </w:r>
      <m:oMath>
        <m:r>
          <w:rPr>
            <w:rFonts w:ascii="Cambria Math" w:hAnsi="Cambria Math"/>
          </w:rPr>
          <m:t>ε</m:t>
        </m:r>
      </m:oMath>
      <w:r>
        <w:rPr>
          <w:rFonts w:hint="eastAsia"/>
        </w:rPr>
        <w:t>は誤差項である。</w:t>
      </w:r>
      <w:r w:rsidR="0099486F">
        <w:rPr>
          <w:rFonts w:hint="eastAsia"/>
        </w:rPr>
        <w:t>分析結果は以下の通りとなっている。</w:t>
      </w:r>
      <w:r w:rsidR="00566705">
        <w:rPr>
          <w:rStyle w:val="a9"/>
        </w:rPr>
        <w:footnoteReference w:id="1"/>
      </w:r>
    </w:p>
    <w:p w14:paraId="217801C8" w14:textId="77777777" w:rsidR="00D57B4D" w:rsidRDefault="00D57B4D" w:rsidP="00FE35E4">
      <w:pPr>
        <w:rPr>
          <w:rFonts w:hint="eastAsia"/>
        </w:rPr>
      </w:pPr>
    </w:p>
    <w:p w14:paraId="13E90982" w14:textId="55D0D476" w:rsidR="00D57B4D" w:rsidRDefault="0099486F" w:rsidP="0099486F">
      <w:pPr>
        <w:jc w:val="center"/>
        <w:rPr>
          <w:rFonts w:hint="eastAsia"/>
        </w:rPr>
      </w:pPr>
      <w:r>
        <w:rPr>
          <w:rFonts w:hint="eastAsia"/>
        </w:rPr>
        <w:t>固定効果モデルによるグリーンボンドと環境パフォーマンスの分析</w:t>
      </w:r>
    </w:p>
    <w:tbl>
      <w:tblPr>
        <w:tblW w:w="8820" w:type="dxa"/>
        <w:tblInd w:w="84" w:type="dxa"/>
        <w:tblCellMar>
          <w:left w:w="99" w:type="dxa"/>
          <w:right w:w="99" w:type="dxa"/>
        </w:tblCellMar>
        <w:tblLook w:val="04A0" w:firstRow="1" w:lastRow="0" w:firstColumn="1" w:lastColumn="0" w:noHBand="0" w:noVBand="1"/>
      </w:tblPr>
      <w:tblGrid>
        <w:gridCol w:w="3300"/>
        <w:gridCol w:w="1393"/>
        <w:gridCol w:w="1106"/>
        <w:gridCol w:w="204"/>
        <w:gridCol w:w="1564"/>
        <w:gridCol w:w="1411"/>
      </w:tblGrid>
      <w:tr w:rsidR="00AA68D3" w:rsidRPr="00AA68D3" w14:paraId="0EE1B3EB" w14:textId="77777777" w:rsidTr="00AA68D3">
        <w:trPr>
          <w:trHeight w:val="360"/>
        </w:trPr>
        <w:tc>
          <w:tcPr>
            <w:tcW w:w="3300" w:type="dxa"/>
            <w:tcBorders>
              <w:top w:val="single" w:sz="4" w:space="0" w:color="auto"/>
              <w:left w:val="single" w:sz="4" w:space="0" w:color="auto"/>
              <w:bottom w:val="nil"/>
              <w:right w:val="nil"/>
            </w:tcBorders>
            <w:shd w:val="clear" w:color="auto" w:fill="auto"/>
            <w:noWrap/>
            <w:vAlign w:val="bottom"/>
            <w:hideMark/>
          </w:tcPr>
          <w:p w14:paraId="374651DE"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552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1FBF7469"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Environmental performance</w:t>
            </w:r>
          </w:p>
        </w:tc>
      </w:tr>
      <w:tr w:rsidR="00AA68D3" w:rsidRPr="00AA68D3" w14:paraId="65D9E7C0" w14:textId="77777777" w:rsidTr="00AA68D3">
        <w:trPr>
          <w:trHeight w:val="360"/>
        </w:trPr>
        <w:tc>
          <w:tcPr>
            <w:tcW w:w="3300" w:type="dxa"/>
            <w:tcBorders>
              <w:top w:val="nil"/>
              <w:left w:val="single" w:sz="4" w:space="0" w:color="auto"/>
              <w:bottom w:val="nil"/>
              <w:right w:val="nil"/>
            </w:tcBorders>
            <w:shd w:val="clear" w:color="auto" w:fill="auto"/>
            <w:noWrap/>
            <w:vAlign w:val="bottom"/>
            <w:hideMark/>
          </w:tcPr>
          <w:p w14:paraId="03BFF4B3"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2499" w:type="dxa"/>
            <w:gridSpan w:val="2"/>
            <w:tcBorders>
              <w:top w:val="single" w:sz="4" w:space="0" w:color="auto"/>
              <w:left w:val="nil"/>
              <w:bottom w:val="single" w:sz="4" w:space="0" w:color="auto"/>
              <w:right w:val="nil"/>
            </w:tcBorders>
            <w:shd w:val="clear" w:color="auto" w:fill="auto"/>
            <w:noWrap/>
            <w:vAlign w:val="bottom"/>
            <w:hideMark/>
          </w:tcPr>
          <w:p w14:paraId="761B1E96"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Environment rating</w:t>
            </w:r>
          </w:p>
        </w:tc>
        <w:tc>
          <w:tcPr>
            <w:tcW w:w="46" w:type="dxa"/>
            <w:tcBorders>
              <w:top w:val="nil"/>
              <w:left w:val="nil"/>
              <w:bottom w:val="nil"/>
              <w:right w:val="nil"/>
            </w:tcBorders>
            <w:shd w:val="clear" w:color="auto" w:fill="auto"/>
            <w:noWrap/>
            <w:vAlign w:val="bottom"/>
            <w:hideMark/>
          </w:tcPr>
          <w:p w14:paraId="09715D1A"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297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D0D649E"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CO2 emissions</w:t>
            </w:r>
          </w:p>
        </w:tc>
      </w:tr>
      <w:tr w:rsidR="00AA68D3" w:rsidRPr="00AA68D3" w14:paraId="4A33AA70"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739C8F3B"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393" w:type="dxa"/>
            <w:tcBorders>
              <w:top w:val="nil"/>
              <w:left w:val="nil"/>
              <w:bottom w:val="single" w:sz="4" w:space="0" w:color="auto"/>
              <w:right w:val="nil"/>
            </w:tcBorders>
            <w:shd w:val="clear" w:color="auto" w:fill="auto"/>
            <w:noWrap/>
            <w:vAlign w:val="bottom"/>
            <w:hideMark/>
          </w:tcPr>
          <w:p w14:paraId="582FCC82"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w:t>
            </w:r>
          </w:p>
        </w:tc>
        <w:tc>
          <w:tcPr>
            <w:tcW w:w="1106" w:type="dxa"/>
            <w:tcBorders>
              <w:top w:val="nil"/>
              <w:left w:val="nil"/>
              <w:bottom w:val="single" w:sz="4" w:space="0" w:color="auto"/>
              <w:right w:val="nil"/>
            </w:tcBorders>
            <w:shd w:val="clear" w:color="auto" w:fill="auto"/>
            <w:noWrap/>
            <w:vAlign w:val="bottom"/>
            <w:hideMark/>
          </w:tcPr>
          <w:p w14:paraId="3CC57DA7"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(2)</w:t>
            </w:r>
          </w:p>
        </w:tc>
        <w:tc>
          <w:tcPr>
            <w:tcW w:w="46" w:type="dxa"/>
            <w:tcBorders>
              <w:top w:val="nil"/>
              <w:left w:val="nil"/>
              <w:bottom w:val="single" w:sz="4" w:space="0" w:color="auto"/>
              <w:right w:val="nil"/>
            </w:tcBorders>
            <w:shd w:val="clear" w:color="auto" w:fill="auto"/>
            <w:noWrap/>
            <w:vAlign w:val="bottom"/>
            <w:hideMark/>
          </w:tcPr>
          <w:p w14:paraId="7F72551E"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60385DDA"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(3)</w:t>
            </w:r>
          </w:p>
        </w:tc>
        <w:tc>
          <w:tcPr>
            <w:tcW w:w="1411" w:type="dxa"/>
            <w:tcBorders>
              <w:top w:val="nil"/>
              <w:left w:val="nil"/>
              <w:bottom w:val="single" w:sz="4" w:space="0" w:color="auto"/>
              <w:right w:val="single" w:sz="4" w:space="0" w:color="auto"/>
            </w:tcBorders>
            <w:shd w:val="clear" w:color="auto" w:fill="auto"/>
            <w:noWrap/>
            <w:vAlign w:val="bottom"/>
            <w:hideMark/>
          </w:tcPr>
          <w:p w14:paraId="6D755B12"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(4)</w:t>
            </w:r>
          </w:p>
        </w:tc>
      </w:tr>
      <w:tr w:rsidR="00AA68D3" w:rsidRPr="00AA68D3" w14:paraId="05EDA0E9" w14:textId="77777777" w:rsidTr="00AA68D3">
        <w:trPr>
          <w:trHeight w:val="360"/>
        </w:trPr>
        <w:tc>
          <w:tcPr>
            <w:tcW w:w="3300" w:type="dxa"/>
            <w:tcBorders>
              <w:top w:val="nil"/>
              <w:left w:val="single" w:sz="4" w:space="0" w:color="auto"/>
              <w:bottom w:val="nil"/>
              <w:right w:val="nil"/>
            </w:tcBorders>
            <w:shd w:val="clear" w:color="auto" w:fill="auto"/>
            <w:noWrap/>
            <w:vAlign w:val="bottom"/>
            <w:hideMark/>
          </w:tcPr>
          <w:p w14:paraId="3B1E6FEB"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Green bond</w:t>
            </w:r>
          </w:p>
        </w:tc>
        <w:tc>
          <w:tcPr>
            <w:tcW w:w="1393" w:type="dxa"/>
            <w:tcBorders>
              <w:top w:val="nil"/>
              <w:left w:val="nil"/>
              <w:bottom w:val="nil"/>
              <w:right w:val="nil"/>
            </w:tcBorders>
            <w:shd w:val="clear" w:color="auto" w:fill="auto"/>
            <w:vAlign w:val="bottom"/>
            <w:hideMark/>
          </w:tcPr>
          <w:p w14:paraId="19B84D0F"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6.118∗∗ </w:t>
            </w:r>
          </w:p>
        </w:tc>
        <w:tc>
          <w:tcPr>
            <w:tcW w:w="1106" w:type="dxa"/>
            <w:tcBorders>
              <w:top w:val="nil"/>
              <w:left w:val="nil"/>
              <w:bottom w:val="nil"/>
              <w:right w:val="nil"/>
            </w:tcBorders>
            <w:shd w:val="clear" w:color="auto" w:fill="auto"/>
            <w:noWrap/>
            <w:vAlign w:val="bottom"/>
            <w:hideMark/>
          </w:tcPr>
          <w:p w14:paraId="4E710540"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46" w:type="dxa"/>
            <w:tcBorders>
              <w:top w:val="nil"/>
              <w:left w:val="nil"/>
              <w:bottom w:val="nil"/>
              <w:right w:val="nil"/>
            </w:tcBorders>
            <w:shd w:val="clear" w:color="auto" w:fill="auto"/>
            <w:noWrap/>
            <w:vAlign w:val="bottom"/>
            <w:hideMark/>
          </w:tcPr>
          <w:p w14:paraId="60E3490E"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564" w:type="dxa"/>
            <w:tcBorders>
              <w:top w:val="nil"/>
              <w:left w:val="nil"/>
              <w:bottom w:val="nil"/>
              <w:right w:val="nil"/>
            </w:tcBorders>
            <w:shd w:val="clear" w:color="auto" w:fill="auto"/>
            <w:noWrap/>
            <w:vAlign w:val="bottom"/>
            <w:hideMark/>
          </w:tcPr>
          <w:p w14:paraId="0A769201"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−10.898∗∗∗</w:t>
            </w:r>
          </w:p>
        </w:tc>
        <w:tc>
          <w:tcPr>
            <w:tcW w:w="1411" w:type="dxa"/>
            <w:tcBorders>
              <w:top w:val="nil"/>
              <w:left w:val="nil"/>
              <w:bottom w:val="nil"/>
              <w:right w:val="single" w:sz="4" w:space="0" w:color="auto"/>
            </w:tcBorders>
            <w:shd w:val="clear" w:color="auto" w:fill="auto"/>
            <w:noWrap/>
            <w:vAlign w:val="bottom"/>
            <w:hideMark/>
          </w:tcPr>
          <w:p w14:paraId="01CBE3C5"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r>
      <w:tr w:rsidR="00AA68D3" w:rsidRPr="00AA68D3" w14:paraId="7542D1F4"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0842C1CC"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393" w:type="dxa"/>
            <w:tcBorders>
              <w:top w:val="nil"/>
              <w:left w:val="nil"/>
              <w:bottom w:val="single" w:sz="4" w:space="0" w:color="auto"/>
              <w:right w:val="nil"/>
            </w:tcBorders>
            <w:shd w:val="clear" w:color="auto" w:fill="auto"/>
            <w:vAlign w:val="bottom"/>
            <w:hideMark/>
          </w:tcPr>
          <w:p w14:paraId="04116D98"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(2.438)</w:t>
            </w:r>
          </w:p>
        </w:tc>
        <w:tc>
          <w:tcPr>
            <w:tcW w:w="1106" w:type="dxa"/>
            <w:tcBorders>
              <w:top w:val="nil"/>
              <w:left w:val="nil"/>
              <w:bottom w:val="single" w:sz="4" w:space="0" w:color="auto"/>
              <w:right w:val="nil"/>
            </w:tcBorders>
            <w:shd w:val="clear" w:color="auto" w:fill="auto"/>
            <w:noWrap/>
            <w:vAlign w:val="bottom"/>
            <w:hideMark/>
          </w:tcPr>
          <w:p w14:paraId="2BA6172C"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46" w:type="dxa"/>
            <w:tcBorders>
              <w:top w:val="nil"/>
              <w:left w:val="nil"/>
              <w:bottom w:val="single" w:sz="4" w:space="0" w:color="auto"/>
              <w:right w:val="nil"/>
            </w:tcBorders>
            <w:shd w:val="clear" w:color="auto" w:fill="auto"/>
            <w:noWrap/>
            <w:vAlign w:val="bottom"/>
            <w:hideMark/>
          </w:tcPr>
          <w:p w14:paraId="1DD3B357"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5D93DC52"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(4.101)</w:t>
            </w:r>
          </w:p>
        </w:tc>
        <w:tc>
          <w:tcPr>
            <w:tcW w:w="1411" w:type="dxa"/>
            <w:tcBorders>
              <w:top w:val="nil"/>
              <w:left w:val="nil"/>
              <w:bottom w:val="single" w:sz="4" w:space="0" w:color="auto"/>
              <w:right w:val="single" w:sz="4" w:space="0" w:color="auto"/>
            </w:tcBorders>
            <w:shd w:val="clear" w:color="auto" w:fill="auto"/>
            <w:noWrap/>
            <w:vAlign w:val="bottom"/>
            <w:hideMark/>
          </w:tcPr>
          <w:p w14:paraId="0C781178"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r>
      <w:tr w:rsidR="00AA68D3" w:rsidRPr="00AA68D3" w14:paraId="3877DB2C" w14:textId="77777777" w:rsidTr="00AA68D3">
        <w:trPr>
          <w:trHeight w:val="360"/>
        </w:trPr>
        <w:tc>
          <w:tcPr>
            <w:tcW w:w="3300" w:type="dxa"/>
            <w:tcBorders>
              <w:top w:val="nil"/>
              <w:left w:val="single" w:sz="4" w:space="0" w:color="auto"/>
              <w:bottom w:val="nil"/>
              <w:right w:val="nil"/>
            </w:tcBorders>
            <w:shd w:val="clear" w:color="auto" w:fill="auto"/>
            <w:noWrap/>
            <w:vAlign w:val="bottom"/>
            <w:hideMark/>
          </w:tcPr>
          <w:p w14:paraId="1F7D61AC"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Green bond</w:t>
            </w:r>
          </w:p>
        </w:tc>
        <w:tc>
          <w:tcPr>
            <w:tcW w:w="1393" w:type="dxa"/>
            <w:tcBorders>
              <w:top w:val="nil"/>
              <w:left w:val="nil"/>
              <w:bottom w:val="nil"/>
              <w:right w:val="nil"/>
            </w:tcBorders>
            <w:shd w:val="clear" w:color="auto" w:fill="auto"/>
            <w:noWrap/>
            <w:vAlign w:val="bottom"/>
            <w:hideMark/>
          </w:tcPr>
          <w:p w14:paraId="2818C9D8"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106" w:type="dxa"/>
            <w:tcBorders>
              <w:top w:val="nil"/>
              <w:left w:val="nil"/>
              <w:bottom w:val="nil"/>
              <w:right w:val="nil"/>
            </w:tcBorders>
            <w:shd w:val="clear" w:color="auto" w:fill="auto"/>
            <w:noWrap/>
            <w:vAlign w:val="bottom"/>
            <w:hideMark/>
          </w:tcPr>
          <w:p w14:paraId="5A042C73"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1.333</w:t>
            </w:r>
          </w:p>
        </w:tc>
        <w:tc>
          <w:tcPr>
            <w:tcW w:w="46" w:type="dxa"/>
            <w:tcBorders>
              <w:top w:val="nil"/>
              <w:left w:val="nil"/>
              <w:bottom w:val="nil"/>
              <w:right w:val="nil"/>
            </w:tcBorders>
            <w:shd w:val="clear" w:color="auto" w:fill="auto"/>
            <w:noWrap/>
            <w:vAlign w:val="bottom"/>
            <w:hideMark/>
          </w:tcPr>
          <w:p w14:paraId="6D2A0E78"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564" w:type="dxa"/>
            <w:tcBorders>
              <w:top w:val="nil"/>
              <w:left w:val="nil"/>
              <w:bottom w:val="nil"/>
              <w:right w:val="nil"/>
            </w:tcBorders>
            <w:shd w:val="clear" w:color="auto" w:fill="auto"/>
            <w:noWrap/>
            <w:vAlign w:val="bottom"/>
            <w:hideMark/>
          </w:tcPr>
          <w:p w14:paraId="0179F182"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411" w:type="dxa"/>
            <w:tcBorders>
              <w:top w:val="nil"/>
              <w:left w:val="nil"/>
              <w:bottom w:val="nil"/>
              <w:right w:val="single" w:sz="4" w:space="0" w:color="auto"/>
            </w:tcBorders>
            <w:shd w:val="clear" w:color="auto" w:fill="auto"/>
            <w:noWrap/>
            <w:vAlign w:val="bottom"/>
            <w:hideMark/>
          </w:tcPr>
          <w:p w14:paraId="3E32A885"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1.083</w:t>
            </w:r>
          </w:p>
        </w:tc>
      </w:tr>
      <w:tr w:rsidR="00AA68D3" w:rsidRPr="00AA68D3" w14:paraId="1A67BC05"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691FF8A7"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(pre-issue year)</w:t>
            </w:r>
          </w:p>
        </w:tc>
        <w:tc>
          <w:tcPr>
            <w:tcW w:w="1393" w:type="dxa"/>
            <w:tcBorders>
              <w:top w:val="nil"/>
              <w:left w:val="nil"/>
              <w:bottom w:val="single" w:sz="4" w:space="0" w:color="auto"/>
              <w:right w:val="nil"/>
            </w:tcBorders>
            <w:shd w:val="clear" w:color="auto" w:fill="auto"/>
            <w:noWrap/>
            <w:vAlign w:val="bottom"/>
            <w:hideMark/>
          </w:tcPr>
          <w:p w14:paraId="0A931E6D"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106" w:type="dxa"/>
            <w:tcBorders>
              <w:top w:val="nil"/>
              <w:left w:val="nil"/>
              <w:bottom w:val="single" w:sz="4" w:space="0" w:color="auto"/>
              <w:right w:val="nil"/>
            </w:tcBorders>
            <w:shd w:val="clear" w:color="auto" w:fill="auto"/>
            <w:noWrap/>
            <w:vAlign w:val="bottom"/>
            <w:hideMark/>
          </w:tcPr>
          <w:p w14:paraId="4902E376"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(2.502)</w:t>
            </w:r>
          </w:p>
        </w:tc>
        <w:tc>
          <w:tcPr>
            <w:tcW w:w="46" w:type="dxa"/>
            <w:tcBorders>
              <w:top w:val="nil"/>
              <w:left w:val="nil"/>
              <w:bottom w:val="single" w:sz="4" w:space="0" w:color="auto"/>
              <w:right w:val="nil"/>
            </w:tcBorders>
            <w:shd w:val="clear" w:color="auto" w:fill="auto"/>
            <w:noWrap/>
            <w:vAlign w:val="bottom"/>
            <w:hideMark/>
          </w:tcPr>
          <w:p w14:paraId="0EDCF19F"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4D2E2CBD"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411" w:type="dxa"/>
            <w:tcBorders>
              <w:top w:val="nil"/>
              <w:left w:val="nil"/>
              <w:bottom w:val="single" w:sz="4" w:space="0" w:color="auto"/>
              <w:right w:val="single" w:sz="4" w:space="0" w:color="auto"/>
            </w:tcBorders>
            <w:shd w:val="clear" w:color="auto" w:fill="auto"/>
            <w:noWrap/>
            <w:vAlign w:val="bottom"/>
            <w:hideMark/>
          </w:tcPr>
          <w:p w14:paraId="7F772F8A"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(4.229)</w:t>
            </w:r>
          </w:p>
        </w:tc>
      </w:tr>
      <w:tr w:rsidR="00AA68D3" w:rsidRPr="00AA68D3" w14:paraId="673A5A18" w14:textId="77777777" w:rsidTr="00AA68D3">
        <w:trPr>
          <w:trHeight w:val="360"/>
        </w:trPr>
        <w:tc>
          <w:tcPr>
            <w:tcW w:w="3300" w:type="dxa"/>
            <w:tcBorders>
              <w:top w:val="nil"/>
              <w:left w:val="single" w:sz="4" w:space="0" w:color="auto"/>
              <w:bottom w:val="nil"/>
              <w:right w:val="nil"/>
            </w:tcBorders>
            <w:shd w:val="clear" w:color="auto" w:fill="auto"/>
            <w:noWrap/>
            <w:vAlign w:val="bottom"/>
            <w:hideMark/>
          </w:tcPr>
          <w:p w14:paraId="18A4BB19"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Green bond</w:t>
            </w:r>
          </w:p>
        </w:tc>
        <w:tc>
          <w:tcPr>
            <w:tcW w:w="1393" w:type="dxa"/>
            <w:tcBorders>
              <w:top w:val="nil"/>
              <w:left w:val="nil"/>
              <w:bottom w:val="nil"/>
              <w:right w:val="nil"/>
            </w:tcBorders>
            <w:shd w:val="clear" w:color="auto" w:fill="auto"/>
            <w:noWrap/>
            <w:vAlign w:val="bottom"/>
            <w:hideMark/>
          </w:tcPr>
          <w:p w14:paraId="02AA792A"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106" w:type="dxa"/>
            <w:tcBorders>
              <w:top w:val="nil"/>
              <w:left w:val="nil"/>
              <w:bottom w:val="nil"/>
              <w:right w:val="nil"/>
            </w:tcBorders>
            <w:shd w:val="clear" w:color="auto" w:fill="auto"/>
            <w:noWrap/>
            <w:vAlign w:val="bottom"/>
            <w:hideMark/>
          </w:tcPr>
          <w:p w14:paraId="60F6F3E2"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4.079</w:t>
            </w:r>
          </w:p>
        </w:tc>
        <w:tc>
          <w:tcPr>
            <w:tcW w:w="46" w:type="dxa"/>
            <w:tcBorders>
              <w:top w:val="nil"/>
              <w:left w:val="nil"/>
              <w:bottom w:val="nil"/>
              <w:right w:val="nil"/>
            </w:tcBorders>
            <w:shd w:val="clear" w:color="auto" w:fill="auto"/>
            <w:noWrap/>
            <w:vAlign w:val="bottom"/>
            <w:hideMark/>
          </w:tcPr>
          <w:p w14:paraId="7CF704B6"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564" w:type="dxa"/>
            <w:tcBorders>
              <w:top w:val="nil"/>
              <w:left w:val="nil"/>
              <w:bottom w:val="nil"/>
              <w:right w:val="nil"/>
            </w:tcBorders>
            <w:shd w:val="clear" w:color="auto" w:fill="auto"/>
            <w:noWrap/>
            <w:vAlign w:val="bottom"/>
            <w:hideMark/>
          </w:tcPr>
          <w:p w14:paraId="2B7CA245"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411" w:type="dxa"/>
            <w:tcBorders>
              <w:top w:val="nil"/>
              <w:left w:val="nil"/>
              <w:bottom w:val="nil"/>
              <w:right w:val="single" w:sz="4" w:space="0" w:color="auto"/>
            </w:tcBorders>
            <w:shd w:val="clear" w:color="auto" w:fill="auto"/>
            <w:noWrap/>
            <w:vAlign w:val="bottom"/>
            <w:hideMark/>
          </w:tcPr>
          <w:p w14:paraId="6769F71F"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−7.667</w:t>
            </w:r>
          </w:p>
        </w:tc>
      </w:tr>
      <w:tr w:rsidR="00AA68D3" w:rsidRPr="00AA68D3" w14:paraId="1057397D"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449F31E5"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(short-term, 1year)</w:t>
            </w:r>
          </w:p>
        </w:tc>
        <w:tc>
          <w:tcPr>
            <w:tcW w:w="1393" w:type="dxa"/>
            <w:tcBorders>
              <w:top w:val="nil"/>
              <w:left w:val="nil"/>
              <w:bottom w:val="single" w:sz="4" w:space="0" w:color="auto"/>
              <w:right w:val="nil"/>
            </w:tcBorders>
            <w:shd w:val="clear" w:color="auto" w:fill="auto"/>
            <w:noWrap/>
            <w:vAlign w:val="bottom"/>
            <w:hideMark/>
          </w:tcPr>
          <w:p w14:paraId="2A49FC9A"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106" w:type="dxa"/>
            <w:tcBorders>
              <w:top w:val="nil"/>
              <w:left w:val="nil"/>
              <w:bottom w:val="single" w:sz="4" w:space="0" w:color="auto"/>
              <w:right w:val="nil"/>
            </w:tcBorders>
            <w:shd w:val="clear" w:color="auto" w:fill="auto"/>
            <w:noWrap/>
            <w:vAlign w:val="bottom"/>
            <w:hideMark/>
          </w:tcPr>
          <w:p w14:paraId="736C74B0"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(2.663)</w:t>
            </w:r>
          </w:p>
        </w:tc>
        <w:tc>
          <w:tcPr>
            <w:tcW w:w="46" w:type="dxa"/>
            <w:tcBorders>
              <w:top w:val="nil"/>
              <w:left w:val="nil"/>
              <w:bottom w:val="single" w:sz="4" w:space="0" w:color="auto"/>
              <w:right w:val="nil"/>
            </w:tcBorders>
            <w:shd w:val="clear" w:color="auto" w:fill="auto"/>
            <w:noWrap/>
            <w:vAlign w:val="bottom"/>
            <w:hideMark/>
          </w:tcPr>
          <w:p w14:paraId="22C56E7D"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0B2C7047"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411" w:type="dxa"/>
            <w:tcBorders>
              <w:top w:val="nil"/>
              <w:left w:val="nil"/>
              <w:bottom w:val="single" w:sz="4" w:space="0" w:color="auto"/>
              <w:right w:val="single" w:sz="4" w:space="0" w:color="auto"/>
            </w:tcBorders>
            <w:shd w:val="clear" w:color="auto" w:fill="auto"/>
            <w:noWrap/>
            <w:vAlign w:val="bottom"/>
            <w:hideMark/>
          </w:tcPr>
          <w:p w14:paraId="42DC167B"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(4.879)</w:t>
            </w:r>
          </w:p>
        </w:tc>
      </w:tr>
      <w:tr w:rsidR="00AA68D3" w:rsidRPr="00AA68D3" w14:paraId="5C8D6B5C" w14:textId="77777777" w:rsidTr="00AA68D3">
        <w:trPr>
          <w:trHeight w:val="360"/>
        </w:trPr>
        <w:tc>
          <w:tcPr>
            <w:tcW w:w="3300" w:type="dxa"/>
            <w:tcBorders>
              <w:top w:val="nil"/>
              <w:left w:val="single" w:sz="4" w:space="0" w:color="auto"/>
              <w:bottom w:val="nil"/>
              <w:right w:val="nil"/>
            </w:tcBorders>
            <w:shd w:val="clear" w:color="auto" w:fill="auto"/>
            <w:noWrap/>
            <w:vAlign w:val="bottom"/>
            <w:hideMark/>
          </w:tcPr>
          <w:p w14:paraId="7D452ADA"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Green bond</w:t>
            </w:r>
          </w:p>
        </w:tc>
        <w:tc>
          <w:tcPr>
            <w:tcW w:w="1393" w:type="dxa"/>
            <w:tcBorders>
              <w:top w:val="nil"/>
              <w:left w:val="nil"/>
              <w:bottom w:val="nil"/>
              <w:right w:val="nil"/>
            </w:tcBorders>
            <w:shd w:val="clear" w:color="auto" w:fill="auto"/>
            <w:noWrap/>
            <w:vAlign w:val="bottom"/>
            <w:hideMark/>
          </w:tcPr>
          <w:p w14:paraId="6189E11C"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106" w:type="dxa"/>
            <w:tcBorders>
              <w:top w:val="nil"/>
              <w:left w:val="nil"/>
              <w:bottom w:val="nil"/>
              <w:right w:val="nil"/>
            </w:tcBorders>
            <w:shd w:val="clear" w:color="auto" w:fill="auto"/>
            <w:noWrap/>
            <w:vAlign w:val="bottom"/>
            <w:hideMark/>
          </w:tcPr>
          <w:p w14:paraId="018DC904"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7.034∗∗</w:t>
            </w:r>
          </w:p>
        </w:tc>
        <w:tc>
          <w:tcPr>
            <w:tcW w:w="46" w:type="dxa"/>
            <w:tcBorders>
              <w:top w:val="nil"/>
              <w:left w:val="nil"/>
              <w:bottom w:val="nil"/>
              <w:right w:val="nil"/>
            </w:tcBorders>
            <w:shd w:val="clear" w:color="auto" w:fill="auto"/>
            <w:noWrap/>
            <w:vAlign w:val="bottom"/>
            <w:hideMark/>
          </w:tcPr>
          <w:p w14:paraId="376549C3"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564" w:type="dxa"/>
            <w:tcBorders>
              <w:top w:val="nil"/>
              <w:left w:val="nil"/>
              <w:bottom w:val="nil"/>
              <w:right w:val="nil"/>
            </w:tcBorders>
            <w:shd w:val="clear" w:color="auto" w:fill="auto"/>
            <w:noWrap/>
            <w:vAlign w:val="bottom"/>
            <w:hideMark/>
          </w:tcPr>
          <w:p w14:paraId="43CB973B" w14:textId="77777777" w:rsidR="00AA68D3" w:rsidRPr="00AA68D3" w:rsidRDefault="00AA68D3" w:rsidP="00AA68D3">
            <w:pPr>
              <w:widowControl/>
              <w:jc w:val="center"/>
              <w:rPr>
                <w:rFonts w:ascii="ＭＳ 明朝" w:eastAsia="ＭＳ 明朝" w:hAnsi="ＭＳ 明朝" w:cs="Times New Roman"/>
                <w:color w:val="000000"/>
                <w:kern w:val="0"/>
              </w:rPr>
            </w:pPr>
          </w:p>
        </w:tc>
        <w:tc>
          <w:tcPr>
            <w:tcW w:w="1411" w:type="dxa"/>
            <w:tcBorders>
              <w:top w:val="nil"/>
              <w:left w:val="nil"/>
              <w:bottom w:val="nil"/>
              <w:right w:val="single" w:sz="4" w:space="0" w:color="auto"/>
            </w:tcBorders>
            <w:shd w:val="clear" w:color="auto" w:fill="auto"/>
            <w:noWrap/>
            <w:vAlign w:val="bottom"/>
            <w:hideMark/>
          </w:tcPr>
          <w:p w14:paraId="74758C1F"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−12.977∗∗</w:t>
            </w:r>
          </w:p>
        </w:tc>
      </w:tr>
      <w:tr w:rsidR="00AA68D3" w:rsidRPr="00AA68D3" w14:paraId="67EF40DA"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385C8A0E"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(long-term, 2+year)</w:t>
            </w:r>
          </w:p>
        </w:tc>
        <w:tc>
          <w:tcPr>
            <w:tcW w:w="1393" w:type="dxa"/>
            <w:tcBorders>
              <w:top w:val="nil"/>
              <w:left w:val="nil"/>
              <w:bottom w:val="single" w:sz="4" w:space="0" w:color="auto"/>
              <w:right w:val="nil"/>
            </w:tcBorders>
            <w:shd w:val="clear" w:color="auto" w:fill="auto"/>
            <w:noWrap/>
            <w:vAlign w:val="bottom"/>
            <w:hideMark/>
          </w:tcPr>
          <w:p w14:paraId="51290890"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106" w:type="dxa"/>
            <w:tcBorders>
              <w:top w:val="nil"/>
              <w:left w:val="nil"/>
              <w:bottom w:val="single" w:sz="4" w:space="0" w:color="auto"/>
              <w:right w:val="nil"/>
            </w:tcBorders>
            <w:shd w:val="clear" w:color="auto" w:fill="auto"/>
            <w:noWrap/>
            <w:vAlign w:val="bottom"/>
            <w:hideMark/>
          </w:tcPr>
          <w:p w14:paraId="2E3A4F1C"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(3.286)</w:t>
            </w:r>
          </w:p>
        </w:tc>
        <w:tc>
          <w:tcPr>
            <w:tcW w:w="46" w:type="dxa"/>
            <w:tcBorders>
              <w:top w:val="nil"/>
              <w:left w:val="nil"/>
              <w:bottom w:val="single" w:sz="4" w:space="0" w:color="auto"/>
              <w:right w:val="nil"/>
            </w:tcBorders>
            <w:shd w:val="clear" w:color="auto" w:fill="auto"/>
            <w:noWrap/>
            <w:vAlign w:val="bottom"/>
            <w:hideMark/>
          </w:tcPr>
          <w:p w14:paraId="0DF9B400"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3F7B1AC6"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411" w:type="dxa"/>
            <w:tcBorders>
              <w:top w:val="nil"/>
              <w:left w:val="nil"/>
              <w:bottom w:val="single" w:sz="4" w:space="0" w:color="auto"/>
              <w:right w:val="single" w:sz="4" w:space="0" w:color="auto"/>
            </w:tcBorders>
            <w:shd w:val="clear" w:color="auto" w:fill="auto"/>
            <w:noWrap/>
            <w:vAlign w:val="bottom"/>
            <w:hideMark/>
          </w:tcPr>
          <w:p w14:paraId="70BEEF4D"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(5.325)</w:t>
            </w:r>
          </w:p>
        </w:tc>
      </w:tr>
      <w:tr w:rsidR="00AA68D3" w:rsidRPr="00AA68D3" w14:paraId="2FC60031"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6097C9FA"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Firm ﬁ</w:t>
            </w:r>
            <w:proofErr w:type="spellStart"/>
            <w:r w:rsidRPr="00AA68D3">
              <w:rPr>
                <w:rFonts w:ascii="ＭＳ 明朝" w:eastAsia="ＭＳ 明朝" w:hAnsi="ＭＳ 明朝" w:cs="Times New Roman" w:hint="eastAsia"/>
                <w:color w:val="000000"/>
                <w:kern w:val="0"/>
              </w:rPr>
              <w:t>xed</w:t>
            </w:r>
            <w:proofErr w:type="spellEnd"/>
            <w:r w:rsidRPr="00AA68D3">
              <w:rPr>
                <w:rFonts w:ascii="ＭＳ 明朝" w:eastAsia="ＭＳ 明朝" w:hAnsi="ＭＳ 明朝" w:cs="Times New Roman" w:hint="eastAsia"/>
                <w:color w:val="000000"/>
                <w:kern w:val="0"/>
              </w:rPr>
              <w:t xml:space="preserve"> effects</w:t>
            </w:r>
          </w:p>
        </w:tc>
        <w:tc>
          <w:tcPr>
            <w:tcW w:w="1393" w:type="dxa"/>
            <w:tcBorders>
              <w:top w:val="nil"/>
              <w:left w:val="nil"/>
              <w:bottom w:val="single" w:sz="4" w:space="0" w:color="auto"/>
              <w:right w:val="nil"/>
            </w:tcBorders>
            <w:shd w:val="clear" w:color="auto" w:fill="auto"/>
            <w:noWrap/>
            <w:vAlign w:val="bottom"/>
            <w:hideMark/>
          </w:tcPr>
          <w:p w14:paraId="3A2C7368"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1106" w:type="dxa"/>
            <w:tcBorders>
              <w:top w:val="nil"/>
              <w:left w:val="nil"/>
              <w:bottom w:val="single" w:sz="4" w:space="0" w:color="auto"/>
              <w:right w:val="nil"/>
            </w:tcBorders>
            <w:shd w:val="clear" w:color="auto" w:fill="auto"/>
            <w:noWrap/>
            <w:vAlign w:val="bottom"/>
            <w:hideMark/>
          </w:tcPr>
          <w:p w14:paraId="565432B9"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46" w:type="dxa"/>
            <w:tcBorders>
              <w:top w:val="nil"/>
              <w:left w:val="nil"/>
              <w:bottom w:val="single" w:sz="4" w:space="0" w:color="auto"/>
              <w:right w:val="nil"/>
            </w:tcBorders>
            <w:shd w:val="clear" w:color="auto" w:fill="auto"/>
            <w:noWrap/>
            <w:vAlign w:val="bottom"/>
            <w:hideMark/>
          </w:tcPr>
          <w:p w14:paraId="772ACA28"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3F9A5066"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1411" w:type="dxa"/>
            <w:tcBorders>
              <w:top w:val="nil"/>
              <w:left w:val="nil"/>
              <w:bottom w:val="single" w:sz="4" w:space="0" w:color="auto"/>
              <w:right w:val="single" w:sz="4" w:space="0" w:color="auto"/>
            </w:tcBorders>
            <w:shd w:val="clear" w:color="auto" w:fill="auto"/>
            <w:noWrap/>
            <w:vAlign w:val="bottom"/>
            <w:hideMark/>
          </w:tcPr>
          <w:p w14:paraId="1E0B3A3D"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r>
      <w:tr w:rsidR="00AA68D3" w:rsidRPr="00AA68D3" w14:paraId="0633F6A3"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5A021CF5"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Country-year ﬁ</w:t>
            </w:r>
            <w:proofErr w:type="spellStart"/>
            <w:r w:rsidRPr="00AA68D3">
              <w:rPr>
                <w:rFonts w:ascii="ＭＳ 明朝" w:eastAsia="ＭＳ 明朝" w:hAnsi="ＭＳ 明朝" w:cs="Times New Roman" w:hint="eastAsia"/>
                <w:color w:val="000000"/>
                <w:kern w:val="0"/>
              </w:rPr>
              <w:t>xed</w:t>
            </w:r>
            <w:proofErr w:type="spellEnd"/>
            <w:r w:rsidRPr="00AA68D3">
              <w:rPr>
                <w:rFonts w:ascii="ＭＳ 明朝" w:eastAsia="ＭＳ 明朝" w:hAnsi="ＭＳ 明朝" w:cs="Times New Roman" w:hint="eastAsia"/>
                <w:color w:val="000000"/>
                <w:kern w:val="0"/>
              </w:rPr>
              <w:t xml:space="preserve"> effects</w:t>
            </w:r>
          </w:p>
        </w:tc>
        <w:tc>
          <w:tcPr>
            <w:tcW w:w="1393" w:type="dxa"/>
            <w:tcBorders>
              <w:top w:val="nil"/>
              <w:left w:val="nil"/>
              <w:bottom w:val="single" w:sz="4" w:space="0" w:color="auto"/>
              <w:right w:val="nil"/>
            </w:tcBorders>
            <w:shd w:val="clear" w:color="auto" w:fill="auto"/>
            <w:noWrap/>
            <w:vAlign w:val="bottom"/>
            <w:hideMark/>
          </w:tcPr>
          <w:p w14:paraId="1E1DD5F2"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1106" w:type="dxa"/>
            <w:tcBorders>
              <w:top w:val="nil"/>
              <w:left w:val="nil"/>
              <w:bottom w:val="single" w:sz="4" w:space="0" w:color="auto"/>
              <w:right w:val="nil"/>
            </w:tcBorders>
            <w:shd w:val="clear" w:color="auto" w:fill="auto"/>
            <w:noWrap/>
            <w:vAlign w:val="bottom"/>
            <w:hideMark/>
          </w:tcPr>
          <w:p w14:paraId="79A570D0"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46" w:type="dxa"/>
            <w:tcBorders>
              <w:top w:val="nil"/>
              <w:left w:val="nil"/>
              <w:bottom w:val="single" w:sz="4" w:space="0" w:color="auto"/>
              <w:right w:val="nil"/>
            </w:tcBorders>
            <w:shd w:val="clear" w:color="auto" w:fill="auto"/>
            <w:noWrap/>
            <w:vAlign w:val="bottom"/>
            <w:hideMark/>
          </w:tcPr>
          <w:p w14:paraId="5AE5DBD7"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3F2F9FBF"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1411" w:type="dxa"/>
            <w:tcBorders>
              <w:top w:val="nil"/>
              <w:left w:val="nil"/>
              <w:bottom w:val="single" w:sz="4" w:space="0" w:color="auto"/>
              <w:right w:val="single" w:sz="4" w:space="0" w:color="auto"/>
            </w:tcBorders>
            <w:shd w:val="clear" w:color="auto" w:fill="auto"/>
            <w:noWrap/>
            <w:vAlign w:val="bottom"/>
            <w:hideMark/>
          </w:tcPr>
          <w:p w14:paraId="211037A8"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r>
      <w:tr w:rsidR="00AA68D3" w:rsidRPr="00AA68D3" w14:paraId="1418D33C"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12896D16"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Industry-year ﬁ</w:t>
            </w:r>
            <w:proofErr w:type="spellStart"/>
            <w:r w:rsidRPr="00AA68D3">
              <w:rPr>
                <w:rFonts w:ascii="ＭＳ 明朝" w:eastAsia="ＭＳ 明朝" w:hAnsi="ＭＳ 明朝" w:cs="Times New Roman" w:hint="eastAsia"/>
                <w:color w:val="000000"/>
                <w:kern w:val="0"/>
              </w:rPr>
              <w:t>xed</w:t>
            </w:r>
            <w:proofErr w:type="spellEnd"/>
            <w:r w:rsidRPr="00AA68D3">
              <w:rPr>
                <w:rFonts w:ascii="ＭＳ 明朝" w:eastAsia="ＭＳ 明朝" w:hAnsi="ＭＳ 明朝" w:cs="Times New Roman" w:hint="eastAsia"/>
                <w:color w:val="000000"/>
                <w:kern w:val="0"/>
              </w:rPr>
              <w:t xml:space="preserve"> effects</w:t>
            </w:r>
          </w:p>
        </w:tc>
        <w:tc>
          <w:tcPr>
            <w:tcW w:w="1393" w:type="dxa"/>
            <w:tcBorders>
              <w:top w:val="nil"/>
              <w:left w:val="nil"/>
              <w:bottom w:val="single" w:sz="4" w:space="0" w:color="auto"/>
              <w:right w:val="nil"/>
            </w:tcBorders>
            <w:shd w:val="clear" w:color="auto" w:fill="auto"/>
            <w:noWrap/>
            <w:vAlign w:val="bottom"/>
            <w:hideMark/>
          </w:tcPr>
          <w:p w14:paraId="3D2A9C5D"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1106" w:type="dxa"/>
            <w:tcBorders>
              <w:top w:val="nil"/>
              <w:left w:val="nil"/>
              <w:bottom w:val="single" w:sz="4" w:space="0" w:color="auto"/>
              <w:right w:val="nil"/>
            </w:tcBorders>
            <w:shd w:val="clear" w:color="auto" w:fill="auto"/>
            <w:noWrap/>
            <w:vAlign w:val="bottom"/>
            <w:hideMark/>
          </w:tcPr>
          <w:p w14:paraId="26BD7E8B"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46" w:type="dxa"/>
            <w:tcBorders>
              <w:top w:val="nil"/>
              <w:left w:val="nil"/>
              <w:bottom w:val="single" w:sz="4" w:space="0" w:color="auto"/>
              <w:right w:val="nil"/>
            </w:tcBorders>
            <w:shd w:val="clear" w:color="auto" w:fill="auto"/>
            <w:noWrap/>
            <w:vAlign w:val="bottom"/>
            <w:hideMark/>
          </w:tcPr>
          <w:p w14:paraId="4EAC5D68"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4588407D"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c>
          <w:tcPr>
            <w:tcW w:w="1411" w:type="dxa"/>
            <w:tcBorders>
              <w:top w:val="nil"/>
              <w:left w:val="nil"/>
              <w:bottom w:val="single" w:sz="4" w:space="0" w:color="auto"/>
              <w:right w:val="single" w:sz="4" w:space="0" w:color="auto"/>
            </w:tcBorders>
            <w:shd w:val="clear" w:color="auto" w:fill="auto"/>
            <w:noWrap/>
            <w:vAlign w:val="bottom"/>
            <w:hideMark/>
          </w:tcPr>
          <w:p w14:paraId="171ECFDB"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Yes</w:t>
            </w:r>
          </w:p>
        </w:tc>
      </w:tr>
      <w:tr w:rsidR="00AA68D3" w:rsidRPr="00AA68D3" w14:paraId="057C403C"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176C7400"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Observations</w:t>
            </w:r>
          </w:p>
        </w:tc>
        <w:tc>
          <w:tcPr>
            <w:tcW w:w="1393" w:type="dxa"/>
            <w:tcBorders>
              <w:top w:val="nil"/>
              <w:left w:val="nil"/>
              <w:bottom w:val="single" w:sz="4" w:space="0" w:color="auto"/>
              <w:right w:val="nil"/>
            </w:tcBorders>
            <w:shd w:val="clear" w:color="auto" w:fill="auto"/>
            <w:noWrap/>
            <w:vAlign w:val="bottom"/>
            <w:hideMark/>
          </w:tcPr>
          <w:p w14:paraId="36AAD740"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1466</w:t>
            </w:r>
          </w:p>
        </w:tc>
        <w:tc>
          <w:tcPr>
            <w:tcW w:w="1106" w:type="dxa"/>
            <w:tcBorders>
              <w:top w:val="nil"/>
              <w:left w:val="nil"/>
              <w:bottom w:val="single" w:sz="4" w:space="0" w:color="auto"/>
              <w:right w:val="nil"/>
            </w:tcBorders>
            <w:shd w:val="clear" w:color="auto" w:fill="auto"/>
            <w:noWrap/>
            <w:vAlign w:val="bottom"/>
            <w:hideMark/>
          </w:tcPr>
          <w:p w14:paraId="53109561"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1466</w:t>
            </w:r>
          </w:p>
        </w:tc>
        <w:tc>
          <w:tcPr>
            <w:tcW w:w="46" w:type="dxa"/>
            <w:tcBorders>
              <w:top w:val="nil"/>
              <w:left w:val="nil"/>
              <w:bottom w:val="single" w:sz="4" w:space="0" w:color="auto"/>
              <w:right w:val="nil"/>
            </w:tcBorders>
            <w:shd w:val="clear" w:color="auto" w:fill="auto"/>
            <w:noWrap/>
            <w:vAlign w:val="bottom"/>
            <w:hideMark/>
          </w:tcPr>
          <w:p w14:paraId="3E3F8FFE"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2783D060"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1196</w:t>
            </w:r>
          </w:p>
        </w:tc>
        <w:tc>
          <w:tcPr>
            <w:tcW w:w="1411" w:type="dxa"/>
            <w:tcBorders>
              <w:top w:val="nil"/>
              <w:left w:val="nil"/>
              <w:bottom w:val="single" w:sz="4" w:space="0" w:color="auto"/>
              <w:right w:val="single" w:sz="4" w:space="0" w:color="auto"/>
            </w:tcBorders>
            <w:shd w:val="clear" w:color="auto" w:fill="auto"/>
            <w:noWrap/>
            <w:vAlign w:val="bottom"/>
            <w:hideMark/>
          </w:tcPr>
          <w:p w14:paraId="06DDC932"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1196</w:t>
            </w:r>
          </w:p>
        </w:tc>
      </w:tr>
      <w:tr w:rsidR="00AA68D3" w:rsidRPr="00AA68D3" w14:paraId="3FD97AC2" w14:textId="77777777" w:rsidTr="00AA68D3">
        <w:trPr>
          <w:trHeight w:val="360"/>
        </w:trPr>
        <w:tc>
          <w:tcPr>
            <w:tcW w:w="3300" w:type="dxa"/>
            <w:tcBorders>
              <w:top w:val="nil"/>
              <w:left w:val="single" w:sz="4" w:space="0" w:color="auto"/>
              <w:bottom w:val="single" w:sz="4" w:space="0" w:color="auto"/>
              <w:right w:val="nil"/>
            </w:tcBorders>
            <w:shd w:val="clear" w:color="auto" w:fill="auto"/>
            <w:noWrap/>
            <w:vAlign w:val="bottom"/>
            <w:hideMark/>
          </w:tcPr>
          <w:p w14:paraId="0AB8F2B3" w14:textId="77777777" w:rsidR="00AA68D3" w:rsidRPr="00AA68D3" w:rsidRDefault="00AA68D3" w:rsidP="00AA68D3">
            <w:pPr>
              <w:widowControl/>
              <w:jc w:val="left"/>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R-squared</w:t>
            </w:r>
          </w:p>
        </w:tc>
        <w:tc>
          <w:tcPr>
            <w:tcW w:w="1393" w:type="dxa"/>
            <w:tcBorders>
              <w:top w:val="nil"/>
              <w:left w:val="nil"/>
              <w:bottom w:val="single" w:sz="4" w:space="0" w:color="auto"/>
              <w:right w:val="nil"/>
            </w:tcBorders>
            <w:shd w:val="clear" w:color="auto" w:fill="auto"/>
            <w:noWrap/>
            <w:vAlign w:val="bottom"/>
            <w:hideMark/>
          </w:tcPr>
          <w:p w14:paraId="744379A4"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0.88</w:t>
            </w:r>
          </w:p>
        </w:tc>
        <w:tc>
          <w:tcPr>
            <w:tcW w:w="1106" w:type="dxa"/>
            <w:tcBorders>
              <w:top w:val="nil"/>
              <w:left w:val="nil"/>
              <w:bottom w:val="single" w:sz="4" w:space="0" w:color="auto"/>
              <w:right w:val="nil"/>
            </w:tcBorders>
            <w:shd w:val="clear" w:color="auto" w:fill="auto"/>
            <w:noWrap/>
            <w:vAlign w:val="bottom"/>
            <w:hideMark/>
          </w:tcPr>
          <w:p w14:paraId="5B9E86C2"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0.88</w:t>
            </w:r>
          </w:p>
        </w:tc>
        <w:tc>
          <w:tcPr>
            <w:tcW w:w="46" w:type="dxa"/>
            <w:tcBorders>
              <w:top w:val="nil"/>
              <w:left w:val="nil"/>
              <w:bottom w:val="single" w:sz="4" w:space="0" w:color="auto"/>
              <w:right w:val="nil"/>
            </w:tcBorders>
            <w:shd w:val="clear" w:color="auto" w:fill="auto"/>
            <w:noWrap/>
            <w:vAlign w:val="bottom"/>
            <w:hideMark/>
          </w:tcPr>
          <w:p w14:paraId="6BA495D1"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 xml:space="preserve">　</w:t>
            </w:r>
          </w:p>
        </w:tc>
        <w:tc>
          <w:tcPr>
            <w:tcW w:w="1564" w:type="dxa"/>
            <w:tcBorders>
              <w:top w:val="nil"/>
              <w:left w:val="nil"/>
              <w:bottom w:val="single" w:sz="4" w:space="0" w:color="auto"/>
              <w:right w:val="nil"/>
            </w:tcBorders>
            <w:shd w:val="clear" w:color="auto" w:fill="auto"/>
            <w:noWrap/>
            <w:vAlign w:val="bottom"/>
            <w:hideMark/>
          </w:tcPr>
          <w:p w14:paraId="24146EDC"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0.9</w:t>
            </w:r>
          </w:p>
        </w:tc>
        <w:tc>
          <w:tcPr>
            <w:tcW w:w="1411" w:type="dxa"/>
            <w:tcBorders>
              <w:top w:val="nil"/>
              <w:left w:val="nil"/>
              <w:bottom w:val="single" w:sz="4" w:space="0" w:color="auto"/>
              <w:right w:val="single" w:sz="4" w:space="0" w:color="auto"/>
            </w:tcBorders>
            <w:shd w:val="clear" w:color="auto" w:fill="auto"/>
            <w:noWrap/>
            <w:vAlign w:val="bottom"/>
            <w:hideMark/>
          </w:tcPr>
          <w:p w14:paraId="3EEDB22F" w14:textId="77777777" w:rsidR="00AA68D3" w:rsidRPr="00AA68D3" w:rsidRDefault="00AA68D3" w:rsidP="00AA68D3">
            <w:pPr>
              <w:widowControl/>
              <w:jc w:val="center"/>
              <w:rPr>
                <w:rFonts w:ascii="ＭＳ 明朝" w:eastAsia="ＭＳ 明朝" w:hAnsi="ＭＳ 明朝" w:cs="Times New Roman"/>
                <w:color w:val="000000"/>
                <w:kern w:val="0"/>
              </w:rPr>
            </w:pPr>
            <w:r w:rsidRPr="00AA68D3">
              <w:rPr>
                <w:rFonts w:ascii="ＭＳ 明朝" w:eastAsia="ＭＳ 明朝" w:hAnsi="ＭＳ 明朝" w:cs="Times New Roman" w:hint="eastAsia"/>
                <w:color w:val="000000"/>
                <w:kern w:val="0"/>
              </w:rPr>
              <w:t>0.9</w:t>
            </w:r>
          </w:p>
        </w:tc>
      </w:tr>
    </w:tbl>
    <w:p w14:paraId="4E9FE5A9" w14:textId="77777777" w:rsidR="00FE35E4" w:rsidRDefault="00FE35E4" w:rsidP="00FE35E4">
      <w:pPr>
        <w:rPr>
          <w:rFonts w:hint="eastAsia"/>
        </w:rPr>
      </w:pPr>
    </w:p>
    <w:p w14:paraId="47739326" w14:textId="7EBD6C7E" w:rsidR="0099486F" w:rsidRDefault="00AA68D3" w:rsidP="00FE35E4">
      <w:pPr>
        <w:rPr>
          <w:rFonts w:hint="eastAsia"/>
        </w:rPr>
      </w:pPr>
      <w:r>
        <w:rPr>
          <w:rFonts w:hint="eastAsia"/>
        </w:rPr>
        <w:t>以上の分析結果を見ると、</w:t>
      </w:r>
      <w:r w:rsidR="00566705">
        <w:rPr>
          <w:rFonts w:hint="eastAsia"/>
        </w:rPr>
        <w:t>環境性能が長期的に大きく向上していることがわかる。</w:t>
      </w:r>
      <w:r w:rsidR="00566705">
        <w:rPr>
          <w:rFonts w:hint="eastAsia"/>
        </w:rPr>
        <w:t>ASSET4</w:t>
      </w:r>
      <w:r w:rsidR="00566705">
        <w:rPr>
          <w:rFonts w:hint="eastAsia"/>
        </w:rPr>
        <w:t>の環境格付けは</w:t>
      </w:r>
      <w:r w:rsidR="00566705">
        <w:rPr>
          <w:rFonts w:hint="eastAsia"/>
        </w:rPr>
        <w:t>7</w:t>
      </w:r>
      <w:r w:rsidR="00566705">
        <w:rPr>
          <w:rFonts w:hint="eastAsia"/>
        </w:rPr>
        <w:t>ポイント上昇し、排出量は、資産</w:t>
      </w:r>
      <w:r w:rsidR="00566705">
        <w:rPr>
          <w:rFonts w:hint="eastAsia"/>
        </w:rPr>
        <w:t>1M</w:t>
      </w:r>
      <w:r w:rsidR="00566705">
        <w:rPr>
          <w:rFonts w:hint="eastAsia"/>
        </w:rPr>
        <w:t>ドルあたり</w:t>
      </w:r>
      <w:r w:rsidR="00566705">
        <w:rPr>
          <w:rFonts w:hint="eastAsia"/>
        </w:rPr>
        <w:t>13</w:t>
      </w:r>
      <w:r w:rsidR="00566705">
        <w:rPr>
          <w:rFonts w:hint="eastAsia"/>
        </w:rPr>
        <w:t>トンが削減されることがわかった。</w:t>
      </w:r>
    </w:p>
    <w:p w14:paraId="37E1024E" w14:textId="77777777" w:rsidR="0099486F" w:rsidRDefault="0099486F" w:rsidP="00FE35E4">
      <w:pPr>
        <w:rPr>
          <w:rFonts w:hint="eastAsia"/>
        </w:rPr>
      </w:pPr>
    </w:p>
    <w:p w14:paraId="0E42A75E" w14:textId="03FAC035" w:rsidR="009C1289" w:rsidRPr="006273E8" w:rsidRDefault="006273E8" w:rsidP="0030445B">
      <w:pPr>
        <w:pStyle w:val="a3"/>
        <w:numPr>
          <w:ilvl w:val="0"/>
          <w:numId w:val="2"/>
        </w:numPr>
        <w:ind w:leftChars="0"/>
        <w:rPr>
          <w:u w:val="single"/>
        </w:rPr>
      </w:pPr>
      <w:r>
        <w:rPr>
          <w:rFonts w:hint="eastAsia"/>
          <w:u w:val="single"/>
        </w:rPr>
        <w:t>グリーニアムの検証</w:t>
      </w:r>
    </w:p>
    <w:p w14:paraId="0518BDE2" w14:textId="053E630A" w:rsidR="009C1289" w:rsidRDefault="008A3F49" w:rsidP="00AD095B">
      <w:pPr>
        <w:rPr>
          <w:rFonts w:hint="eastAsia"/>
        </w:rPr>
      </w:pPr>
      <w:r>
        <w:rPr>
          <w:rFonts w:hint="eastAsia"/>
        </w:rPr>
        <w:t xml:space="preserve">　</w:t>
      </w:r>
      <w:r w:rsidR="00893748">
        <w:rPr>
          <w:rFonts w:hint="eastAsia"/>
        </w:rPr>
        <w:t>本検証では、マッチング法を用いている</w:t>
      </w:r>
      <w:r w:rsidR="009C1289">
        <w:rPr>
          <w:rFonts w:hint="eastAsia"/>
        </w:rPr>
        <w:t>。具体的には，グリーンボンド発行の前年度に，同じ国・産業・年の（非グリーン）ボンド発行者とマッチングを行う。候</w:t>
      </w:r>
      <w:r w:rsidR="00893748">
        <w:rPr>
          <w:rFonts w:hint="eastAsia"/>
        </w:rPr>
        <w:t>補の中から、大規模な共変量に基づいて最近傍を選択する。こう</w:t>
      </w:r>
      <w:r w:rsidR="009C1289">
        <w:rPr>
          <w:rFonts w:hint="eastAsia"/>
        </w:rPr>
        <w:t>することで、比較対象グループ、つまり（非）グリーンボンド発行者が、</w:t>
      </w:r>
      <w:r w:rsidR="00893748">
        <w:rPr>
          <w:rFonts w:hint="eastAsia"/>
        </w:rPr>
        <w:t>事前のグリーンボンド発行者と可能な限り類似することができる</w:t>
      </w:r>
      <w:r w:rsidR="009C1289">
        <w:rPr>
          <w:rFonts w:hint="eastAsia"/>
        </w:rPr>
        <w:t>。</w:t>
      </w:r>
      <w:r w:rsidR="009762D2">
        <w:rPr>
          <w:rFonts w:hint="eastAsia"/>
        </w:rPr>
        <w:t>当マッチングには、いくつかの基準を用いている。</w:t>
      </w:r>
      <w:r w:rsidR="00AD095B">
        <w:rPr>
          <w:rFonts w:hint="eastAsia"/>
        </w:rPr>
        <w:t>まず信用格付けが同じであること、次に発行額、満期、クーポン、グリーンボンドと非グリーンボンドの発行日が近いことを条件にマッチングを行い、発行時の利回りを比較している。</w:t>
      </w:r>
    </w:p>
    <w:p w14:paraId="2E1B78BF" w14:textId="77777777" w:rsidR="009C1289" w:rsidRDefault="009C1289" w:rsidP="0030445B">
      <w:pPr>
        <w:rPr>
          <w:rFonts w:hint="eastAsia"/>
        </w:rPr>
      </w:pPr>
    </w:p>
    <w:p w14:paraId="22D8C967" w14:textId="71B328F1" w:rsidR="00AD095B" w:rsidRDefault="00AD095B" w:rsidP="00AD095B">
      <w:pPr>
        <w:jc w:val="center"/>
        <w:rPr>
          <w:rFonts w:hint="eastAsia"/>
        </w:rPr>
      </w:pPr>
      <w:r>
        <w:rPr>
          <w:rFonts w:hint="eastAsia"/>
        </w:rPr>
        <w:t>マッチング法によるグリーニアムの分析</w:t>
      </w:r>
    </w:p>
    <w:tbl>
      <w:tblPr>
        <w:tblW w:w="7320" w:type="dxa"/>
        <w:jc w:val="center"/>
        <w:tblInd w:w="84" w:type="dxa"/>
        <w:tblCellMar>
          <w:left w:w="99" w:type="dxa"/>
          <w:right w:w="99" w:type="dxa"/>
        </w:tblCellMar>
        <w:tblLook w:val="04A0" w:firstRow="1" w:lastRow="0" w:firstColumn="1" w:lastColumn="0" w:noHBand="0" w:noVBand="1"/>
      </w:tblPr>
      <w:tblGrid>
        <w:gridCol w:w="2700"/>
        <w:gridCol w:w="1172"/>
        <w:gridCol w:w="1724"/>
        <w:gridCol w:w="1724"/>
      </w:tblGrid>
      <w:tr w:rsidR="002767C2" w:rsidRPr="002767C2" w14:paraId="7A3B2077" w14:textId="77777777" w:rsidTr="002767C2">
        <w:trPr>
          <w:trHeight w:val="360"/>
          <w:jc w:val="center"/>
        </w:trPr>
        <w:tc>
          <w:tcPr>
            <w:tcW w:w="2700" w:type="dxa"/>
            <w:tcBorders>
              <w:top w:val="single" w:sz="4" w:space="0" w:color="auto"/>
              <w:left w:val="single" w:sz="4" w:space="0" w:color="auto"/>
              <w:bottom w:val="nil"/>
              <w:right w:val="nil"/>
            </w:tcBorders>
            <w:shd w:val="clear" w:color="auto" w:fill="auto"/>
            <w:noWrap/>
            <w:vAlign w:val="bottom"/>
            <w:hideMark/>
          </w:tcPr>
          <w:p w14:paraId="0D271419" w14:textId="77777777" w:rsidR="002767C2" w:rsidRPr="002767C2" w:rsidRDefault="002767C2" w:rsidP="002767C2">
            <w:pPr>
              <w:widowControl/>
              <w:jc w:val="lef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 xml:space="preserve">　</w:t>
            </w:r>
          </w:p>
        </w:tc>
        <w:tc>
          <w:tcPr>
            <w:tcW w:w="462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F3AB4E9" w14:textId="77777777" w:rsidR="002767C2" w:rsidRPr="002767C2" w:rsidRDefault="002767C2" w:rsidP="002767C2">
            <w:pPr>
              <w:widowControl/>
              <w:jc w:val="center"/>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Yield at issue(in%)</w:t>
            </w:r>
          </w:p>
        </w:tc>
      </w:tr>
      <w:tr w:rsidR="002767C2" w:rsidRPr="002767C2" w14:paraId="38B1D904" w14:textId="77777777" w:rsidTr="002767C2">
        <w:trPr>
          <w:trHeight w:val="360"/>
          <w:jc w:val="center"/>
        </w:trPr>
        <w:tc>
          <w:tcPr>
            <w:tcW w:w="2700" w:type="dxa"/>
            <w:tcBorders>
              <w:top w:val="nil"/>
              <w:left w:val="single" w:sz="4" w:space="0" w:color="auto"/>
              <w:bottom w:val="single" w:sz="4" w:space="0" w:color="auto"/>
              <w:right w:val="nil"/>
            </w:tcBorders>
            <w:shd w:val="clear" w:color="auto" w:fill="auto"/>
            <w:noWrap/>
            <w:vAlign w:val="bottom"/>
            <w:hideMark/>
          </w:tcPr>
          <w:p w14:paraId="49595C8E" w14:textId="77777777" w:rsidR="002767C2" w:rsidRPr="002767C2" w:rsidRDefault="002767C2" w:rsidP="002767C2">
            <w:pPr>
              <w:widowControl/>
              <w:jc w:val="lef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 xml:space="preserve">　</w:t>
            </w:r>
          </w:p>
        </w:tc>
        <w:tc>
          <w:tcPr>
            <w:tcW w:w="1172" w:type="dxa"/>
            <w:tcBorders>
              <w:top w:val="nil"/>
              <w:left w:val="nil"/>
              <w:bottom w:val="single" w:sz="4" w:space="0" w:color="auto"/>
              <w:right w:val="nil"/>
            </w:tcBorders>
            <w:shd w:val="clear" w:color="auto" w:fill="auto"/>
            <w:noWrap/>
            <w:vAlign w:val="bottom"/>
            <w:hideMark/>
          </w:tcPr>
          <w:p w14:paraId="0440A003" w14:textId="77777777" w:rsidR="002767C2" w:rsidRPr="002767C2" w:rsidRDefault="002767C2" w:rsidP="002767C2">
            <w:pPr>
              <w:widowControl/>
              <w:jc w:val="center"/>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Obs.</w:t>
            </w:r>
          </w:p>
        </w:tc>
        <w:tc>
          <w:tcPr>
            <w:tcW w:w="1724" w:type="dxa"/>
            <w:tcBorders>
              <w:top w:val="nil"/>
              <w:left w:val="nil"/>
              <w:bottom w:val="single" w:sz="4" w:space="0" w:color="auto"/>
              <w:right w:val="nil"/>
            </w:tcBorders>
            <w:shd w:val="clear" w:color="auto" w:fill="auto"/>
            <w:noWrap/>
            <w:vAlign w:val="bottom"/>
            <w:hideMark/>
          </w:tcPr>
          <w:p w14:paraId="3E474032" w14:textId="77777777" w:rsidR="002767C2" w:rsidRPr="002767C2" w:rsidRDefault="002767C2" w:rsidP="002767C2">
            <w:pPr>
              <w:widowControl/>
              <w:jc w:val="center"/>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Mean</w:t>
            </w:r>
          </w:p>
        </w:tc>
        <w:tc>
          <w:tcPr>
            <w:tcW w:w="1724" w:type="dxa"/>
            <w:tcBorders>
              <w:top w:val="nil"/>
              <w:left w:val="nil"/>
              <w:bottom w:val="single" w:sz="4" w:space="0" w:color="auto"/>
              <w:right w:val="single" w:sz="4" w:space="0" w:color="auto"/>
            </w:tcBorders>
            <w:shd w:val="clear" w:color="auto" w:fill="auto"/>
            <w:noWrap/>
            <w:vAlign w:val="bottom"/>
            <w:hideMark/>
          </w:tcPr>
          <w:p w14:paraId="4E76A557" w14:textId="77777777" w:rsidR="002767C2" w:rsidRPr="002767C2" w:rsidRDefault="002767C2" w:rsidP="002767C2">
            <w:pPr>
              <w:widowControl/>
              <w:jc w:val="center"/>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Median</w:t>
            </w:r>
          </w:p>
        </w:tc>
      </w:tr>
      <w:tr w:rsidR="002767C2" w:rsidRPr="002767C2" w14:paraId="09DB4BD7" w14:textId="77777777" w:rsidTr="002767C2">
        <w:trPr>
          <w:trHeight w:val="360"/>
          <w:jc w:val="center"/>
        </w:trPr>
        <w:tc>
          <w:tcPr>
            <w:tcW w:w="2700" w:type="dxa"/>
            <w:tcBorders>
              <w:top w:val="nil"/>
              <w:left w:val="single" w:sz="4" w:space="0" w:color="auto"/>
              <w:bottom w:val="nil"/>
              <w:right w:val="nil"/>
            </w:tcBorders>
            <w:shd w:val="clear" w:color="auto" w:fill="auto"/>
            <w:noWrap/>
            <w:vAlign w:val="bottom"/>
            <w:hideMark/>
          </w:tcPr>
          <w:p w14:paraId="19DF4333" w14:textId="77777777" w:rsidR="002767C2" w:rsidRPr="002767C2" w:rsidRDefault="002767C2" w:rsidP="002767C2">
            <w:pPr>
              <w:widowControl/>
              <w:jc w:val="lef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Green bond</w:t>
            </w:r>
          </w:p>
        </w:tc>
        <w:tc>
          <w:tcPr>
            <w:tcW w:w="1172" w:type="dxa"/>
            <w:tcBorders>
              <w:top w:val="nil"/>
              <w:left w:val="nil"/>
              <w:bottom w:val="nil"/>
              <w:right w:val="nil"/>
            </w:tcBorders>
            <w:shd w:val="clear" w:color="auto" w:fill="auto"/>
            <w:noWrap/>
            <w:vAlign w:val="bottom"/>
            <w:hideMark/>
          </w:tcPr>
          <w:p w14:paraId="2521BFB7"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152</w:t>
            </w:r>
          </w:p>
        </w:tc>
        <w:tc>
          <w:tcPr>
            <w:tcW w:w="1724" w:type="dxa"/>
            <w:tcBorders>
              <w:top w:val="nil"/>
              <w:left w:val="nil"/>
              <w:bottom w:val="nil"/>
              <w:right w:val="nil"/>
            </w:tcBorders>
            <w:shd w:val="clear" w:color="auto" w:fill="auto"/>
            <w:noWrap/>
            <w:vAlign w:val="bottom"/>
            <w:hideMark/>
          </w:tcPr>
          <w:p w14:paraId="1AC48E33"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3.654</w:t>
            </w:r>
          </w:p>
        </w:tc>
        <w:tc>
          <w:tcPr>
            <w:tcW w:w="1724" w:type="dxa"/>
            <w:tcBorders>
              <w:top w:val="nil"/>
              <w:left w:val="nil"/>
              <w:bottom w:val="nil"/>
              <w:right w:val="single" w:sz="4" w:space="0" w:color="auto"/>
            </w:tcBorders>
            <w:shd w:val="clear" w:color="auto" w:fill="auto"/>
            <w:noWrap/>
            <w:vAlign w:val="bottom"/>
            <w:hideMark/>
          </w:tcPr>
          <w:p w14:paraId="018FEF48"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3.600</w:t>
            </w:r>
          </w:p>
        </w:tc>
      </w:tr>
      <w:tr w:rsidR="002767C2" w:rsidRPr="002767C2" w14:paraId="548D250A" w14:textId="77777777" w:rsidTr="002767C2">
        <w:trPr>
          <w:trHeight w:val="360"/>
          <w:jc w:val="center"/>
        </w:trPr>
        <w:tc>
          <w:tcPr>
            <w:tcW w:w="2700" w:type="dxa"/>
            <w:tcBorders>
              <w:top w:val="nil"/>
              <w:left w:val="single" w:sz="4" w:space="0" w:color="auto"/>
              <w:bottom w:val="nil"/>
              <w:right w:val="nil"/>
            </w:tcBorders>
            <w:shd w:val="clear" w:color="auto" w:fill="auto"/>
            <w:noWrap/>
            <w:vAlign w:val="bottom"/>
            <w:hideMark/>
          </w:tcPr>
          <w:p w14:paraId="3CF930CD" w14:textId="77777777" w:rsidR="002767C2" w:rsidRPr="002767C2" w:rsidRDefault="002767C2" w:rsidP="002767C2">
            <w:pPr>
              <w:widowControl/>
              <w:jc w:val="lef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 xml:space="preserve">Matched </w:t>
            </w:r>
            <w:proofErr w:type="spellStart"/>
            <w:r w:rsidRPr="002767C2">
              <w:rPr>
                <w:rFonts w:ascii="ＭＳ 明朝" w:eastAsia="ＭＳ 明朝" w:hAnsi="ＭＳ 明朝" w:cs="Times New Roman" w:hint="eastAsia"/>
                <w:color w:val="000000"/>
                <w:kern w:val="0"/>
              </w:rPr>
              <w:t>nongreen</w:t>
            </w:r>
            <w:proofErr w:type="spellEnd"/>
            <w:r w:rsidRPr="002767C2">
              <w:rPr>
                <w:rFonts w:ascii="ＭＳ 明朝" w:eastAsia="ＭＳ 明朝" w:hAnsi="ＭＳ 明朝" w:cs="Times New Roman" w:hint="eastAsia"/>
                <w:color w:val="000000"/>
                <w:kern w:val="0"/>
              </w:rPr>
              <w:t xml:space="preserve"> bond</w:t>
            </w:r>
          </w:p>
        </w:tc>
        <w:tc>
          <w:tcPr>
            <w:tcW w:w="1172" w:type="dxa"/>
            <w:tcBorders>
              <w:top w:val="nil"/>
              <w:left w:val="nil"/>
              <w:bottom w:val="nil"/>
              <w:right w:val="nil"/>
            </w:tcBorders>
            <w:shd w:val="clear" w:color="auto" w:fill="auto"/>
            <w:noWrap/>
            <w:vAlign w:val="bottom"/>
            <w:hideMark/>
          </w:tcPr>
          <w:p w14:paraId="3ED20892"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152</w:t>
            </w:r>
          </w:p>
        </w:tc>
        <w:tc>
          <w:tcPr>
            <w:tcW w:w="1724" w:type="dxa"/>
            <w:tcBorders>
              <w:top w:val="nil"/>
              <w:left w:val="nil"/>
              <w:bottom w:val="nil"/>
              <w:right w:val="nil"/>
            </w:tcBorders>
            <w:shd w:val="clear" w:color="auto" w:fill="auto"/>
            <w:noWrap/>
            <w:vAlign w:val="bottom"/>
            <w:hideMark/>
          </w:tcPr>
          <w:p w14:paraId="1A9F8DFA"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3.673</w:t>
            </w:r>
          </w:p>
        </w:tc>
        <w:tc>
          <w:tcPr>
            <w:tcW w:w="1724" w:type="dxa"/>
            <w:tcBorders>
              <w:top w:val="nil"/>
              <w:left w:val="nil"/>
              <w:bottom w:val="nil"/>
              <w:right w:val="single" w:sz="4" w:space="0" w:color="auto"/>
            </w:tcBorders>
            <w:shd w:val="clear" w:color="auto" w:fill="auto"/>
            <w:noWrap/>
            <w:vAlign w:val="bottom"/>
            <w:hideMark/>
          </w:tcPr>
          <w:p w14:paraId="7616677D"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3.600</w:t>
            </w:r>
          </w:p>
        </w:tc>
      </w:tr>
      <w:tr w:rsidR="002767C2" w:rsidRPr="002767C2" w14:paraId="04F8320F" w14:textId="77777777" w:rsidTr="002767C2">
        <w:trPr>
          <w:trHeight w:val="360"/>
          <w:jc w:val="center"/>
        </w:trPr>
        <w:tc>
          <w:tcPr>
            <w:tcW w:w="2700" w:type="dxa"/>
            <w:tcBorders>
              <w:top w:val="nil"/>
              <w:left w:val="single" w:sz="4" w:space="0" w:color="auto"/>
              <w:bottom w:val="nil"/>
              <w:right w:val="nil"/>
            </w:tcBorders>
            <w:shd w:val="clear" w:color="auto" w:fill="auto"/>
            <w:noWrap/>
            <w:vAlign w:val="bottom"/>
            <w:hideMark/>
          </w:tcPr>
          <w:p w14:paraId="45D2C993" w14:textId="77777777" w:rsidR="002767C2" w:rsidRPr="002767C2" w:rsidRDefault="002767C2" w:rsidP="002767C2">
            <w:pPr>
              <w:widowControl/>
              <w:jc w:val="lef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Difference</w:t>
            </w:r>
          </w:p>
        </w:tc>
        <w:tc>
          <w:tcPr>
            <w:tcW w:w="1172" w:type="dxa"/>
            <w:tcBorders>
              <w:top w:val="nil"/>
              <w:left w:val="nil"/>
              <w:bottom w:val="nil"/>
              <w:right w:val="nil"/>
            </w:tcBorders>
            <w:shd w:val="clear" w:color="auto" w:fill="auto"/>
            <w:noWrap/>
            <w:vAlign w:val="bottom"/>
            <w:hideMark/>
          </w:tcPr>
          <w:p w14:paraId="428BD72E" w14:textId="77777777" w:rsidR="002767C2" w:rsidRPr="002767C2" w:rsidRDefault="002767C2" w:rsidP="002767C2">
            <w:pPr>
              <w:widowControl/>
              <w:jc w:val="left"/>
              <w:rPr>
                <w:rFonts w:ascii="ＭＳ 明朝" w:eastAsia="ＭＳ 明朝" w:hAnsi="ＭＳ 明朝" w:cs="Times New Roman"/>
                <w:color w:val="000000"/>
                <w:kern w:val="0"/>
              </w:rPr>
            </w:pPr>
          </w:p>
        </w:tc>
        <w:tc>
          <w:tcPr>
            <w:tcW w:w="1724" w:type="dxa"/>
            <w:tcBorders>
              <w:top w:val="nil"/>
              <w:left w:val="nil"/>
              <w:bottom w:val="nil"/>
              <w:right w:val="nil"/>
            </w:tcBorders>
            <w:shd w:val="clear" w:color="auto" w:fill="auto"/>
            <w:noWrap/>
            <w:vAlign w:val="bottom"/>
            <w:hideMark/>
          </w:tcPr>
          <w:p w14:paraId="09CAE432"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−0.019</w:t>
            </w:r>
          </w:p>
        </w:tc>
        <w:tc>
          <w:tcPr>
            <w:tcW w:w="1724" w:type="dxa"/>
            <w:tcBorders>
              <w:top w:val="nil"/>
              <w:left w:val="nil"/>
              <w:bottom w:val="nil"/>
              <w:right w:val="single" w:sz="4" w:space="0" w:color="auto"/>
            </w:tcBorders>
            <w:shd w:val="clear" w:color="auto" w:fill="auto"/>
            <w:noWrap/>
            <w:vAlign w:val="bottom"/>
            <w:hideMark/>
          </w:tcPr>
          <w:p w14:paraId="47A0F588"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0.000</w:t>
            </w:r>
          </w:p>
        </w:tc>
      </w:tr>
      <w:tr w:rsidR="002767C2" w:rsidRPr="002767C2" w14:paraId="3EE8740E" w14:textId="77777777" w:rsidTr="002767C2">
        <w:trPr>
          <w:trHeight w:val="360"/>
          <w:jc w:val="center"/>
        </w:trPr>
        <w:tc>
          <w:tcPr>
            <w:tcW w:w="2700" w:type="dxa"/>
            <w:tcBorders>
              <w:top w:val="nil"/>
              <w:left w:val="single" w:sz="4" w:space="0" w:color="auto"/>
              <w:bottom w:val="single" w:sz="4" w:space="0" w:color="auto"/>
              <w:right w:val="nil"/>
            </w:tcBorders>
            <w:shd w:val="clear" w:color="auto" w:fill="auto"/>
            <w:noWrap/>
            <w:vAlign w:val="bottom"/>
            <w:hideMark/>
          </w:tcPr>
          <w:p w14:paraId="40A52026" w14:textId="77777777" w:rsidR="002767C2" w:rsidRPr="002767C2" w:rsidRDefault="002767C2" w:rsidP="002767C2">
            <w:pPr>
              <w:widowControl/>
              <w:jc w:val="lef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p-value(difference)</w:t>
            </w:r>
          </w:p>
        </w:tc>
        <w:tc>
          <w:tcPr>
            <w:tcW w:w="1172" w:type="dxa"/>
            <w:tcBorders>
              <w:top w:val="nil"/>
              <w:left w:val="nil"/>
              <w:bottom w:val="single" w:sz="4" w:space="0" w:color="auto"/>
              <w:right w:val="nil"/>
            </w:tcBorders>
            <w:shd w:val="clear" w:color="auto" w:fill="auto"/>
            <w:noWrap/>
            <w:vAlign w:val="bottom"/>
            <w:hideMark/>
          </w:tcPr>
          <w:p w14:paraId="19CF1C36" w14:textId="77777777" w:rsidR="002767C2" w:rsidRPr="002767C2" w:rsidRDefault="002767C2" w:rsidP="002767C2">
            <w:pPr>
              <w:widowControl/>
              <w:jc w:val="lef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 xml:space="preserve">　</w:t>
            </w:r>
          </w:p>
        </w:tc>
        <w:tc>
          <w:tcPr>
            <w:tcW w:w="1724" w:type="dxa"/>
            <w:tcBorders>
              <w:top w:val="nil"/>
              <w:left w:val="nil"/>
              <w:bottom w:val="single" w:sz="4" w:space="0" w:color="auto"/>
              <w:right w:val="nil"/>
            </w:tcBorders>
            <w:shd w:val="clear" w:color="auto" w:fill="auto"/>
            <w:noWrap/>
            <w:vAlign w:val="bottom"/>
            <w:hideMark/>
          </w:tcPr>
          <w:p w14:paraId="397A0541"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0.942</w:t>
            </w:r>
          </w:p>
        </w:tc>
        <w:tc>
          <w:tcPr>
            <w:tcW w:w="1724" w:type="dxa"/>
            <w:tcBorders>
              <w:top w:val="nil"/>
              <w:left w:val="nil"/>
              <w:bottom w:val="single" w:sz="4" w:space="0" w:color="auto"/>
              <w:right w:val="single" w:sz="4" w:space="0" w:color="auto"/>
            </w:tcBorders>
            <w:shd w:val="clear" w:color="auto" w:fill="auto"/>
            <w:noWrap/>
            <w:vAlign w:val="bottom"/>
            <w:hideMark/>
          </w:tcPr>
          <w:p w14:paraId="19286CF3" w14:textId="77777777" w:rsidR="002767C2" w:rsidRPr="002767C2" w:rsidRDefault="002767C2" w:rsidP="002767C2">
            <w:pPr>
              <w:widowControl/>
              <w:jc w:val="right"/>
              <w:rPr>
                <w:rFonts w:ascii="ＭＳ 明朝" w:eastAsia="ＭＳ 明朝" w:hAnsi="ＭＳ 明朝" w:cs="Times New Roman"/>
                <w:color w:val="000000"/>
                <w:kern w:val="0"/>
              </w:rPr>
            </w:pPr>
            <w:r w:rsidRPr="002767C2">
              <w:rPr>
                <w:rFonts w:ascii="ＭＳ 明朝" w:eastAsia="ＭＳ 明朝" w:hAnsi="ＭＳ 明朝" w:cs="Times New Roman" w:hint="eastAsia"/>
                <w:color w:val="000000"/>
                <w:kern w:val="0"/>
              </w:rPr>
              <w:t>1.000</w:t>
            </w:r>
          </w:p>
        </w:tc>
      </w:tr>
    </w:tbl>
    <w:p w14:paraId="3E46C09C" w14:textId="77777777" w:rsidR="002767C2" w:rsidRDefault="002767C2" w:rsidP="0030445B"/>
    <w:p w14:paraId="23F54B28" w14:textId="77777777" w:rsidR="006273E8" w:rsidRDefault="006273E8" w:rsidP="006273E8">
      <w:r>
        <w:rPr>
          <w:rFonts w:hint="eastAsia"/>
        </w:rPr>
        <w:t>グリーンボンドと非グリーンボンドの利回りに顕著な差はないことがわかる。平均的な差はゼロであり（</w:t>
      </w:r>
      <w:r>
        <w:rPr>
          <w:rFonts w:hint="eastAsia"/>
        </w:rPr>
        <w:t>p-1.000</w:t>
      </w:r>
      <w:r>
        <w:rPr>
          <w:rFonts w:hint="eastAsia"/>
        </w:rPr>
        <w:t>）、平均値も経済的には小さく</w:t>
      </w:r>
      <w:r>
        <w:rPr>
          <w:rFonts w:hint="eastAsia"/>
        </w:rPr>
        <w:t>(0.019%)</w:t>
      </w:r>
      <w:r>
        <w:rPr>
          <w:rFonts w:hint="eastAsia"/>
        </w:rPr>
        <w:t>、統計的にも有意でない</w:t>
      </w:r>
      <w:r>
        <w:rPr>
          <w:rFonts w:hint="eastAsia"/>
        </w:rPr>
        <w:t>(p-value = 0.942)</w:t>
      </w:r>
      <w:r>
        <w:rPr>
          <w:rFonts w:hint="eastAsia"/>
        </w:rPr>
        <w:t>。</w:t>
      </w:r>
    </w:p>
    <w:p w14:paraId="3B57E588" w14:textId="77777777" w:rsidR="002767C2" w:rsidRDefault="002767C2" w:rsidP="0030445B">
      <w:pPr>
        <w:rPr>
          <w:rFonts w:hint="eastAsia"/>
        </w:rPr>
      </w:pPr>
    </w:p>
    <w:p w14:paraId="45AC68ED" w14:textId="77777777" w:rsidR="006273E8" w:rsidRDefault="006273E8" w:rsidP="0030445B">
      <w:pPr>
        <w:rPr>
          <w:rFonts w:hint="eastAsia"/>
        </w:rPr>
      </w:pPr>
    </w:p>
    <w:p w14:paraId="67195197" w14:textId="25C74F95" w:rsidR="004D2160" w:rsidRDefault="00655734" w:rsidP="004D2160">
      <w:r>
        <w:rPr>
          <w:rFonts w:hint="eastAsia"/>
        </w:rPr>
        <w:t xml:space="preserve">　</w:t>
      </w:r>
      <w:proofErr w:type="spellStart"/>
      <w:r w:rsidR="00A2749B" w:rsidRPr="00A2749B">
        <w:t>Gianfrate</w:t>
      </w:r>
      <w:proofErr w:type="spellEnd"/>
      <w:r w:rsidR="00A2749B">
        <w:t xml:space="preserve"> and </w:t>
      </w:r>
      <w:proofErr w:type="spellStart"/>
      <w:r w:rsidR="00A2749B" w:rsidRPr="00A2749B">
        <w:t>Peri</w:t>
      </w:r>
      <w:proofErr w:type="spellEnd"/>
      <w:r w:rsidR="00A2749B">
        <w:t>(2019)</w:t>
      </w:r>
      <w:r w:rsidR="00A2749B">
        <w:rPr>
          <w:rFonts w:hint="eastAsia"/>
        </w:rPr>
        <w:t>は、グリーンボンド</w:t>
      </w:r>
      <w:r w:rsidR="00A2749B">
        <w:rPr>
          <w:rFonts w:hint="eastAsia"/>
        </w:rPr>
        <w:t xml:space="preserve"> </w:t>
      </w:r>
      <w:r w:rsidR="00A2749B">
        <w:rPr>
          <w:rFonts w:hint="eastAsia"/>
        </w:rPr>
        <w:t>のグリーニアムについて、傾向スコアマッチング法を採用し、</w:t>
      </w:r>
      <w:r w:rsidR="00A2749B">
        <w:rPr>
          <w:rFonts w:hint="eastAsia"/>
        </w:rPr>
        <w:t>2013</w:t>
      </w:r>
      <w:r w:rsidR="00A2749B">
        <w:rPr>
          <w:rFonts w:hint="eastAsia"/>
        </w:rPr>
        <w:t>年</w:t>
      </w:r>
      <w:r w:rsidR="004D2160">
        <w:rPr>
          <w:rFonts w:hint="eastAsia"/>
        </w:rPr>
        <w:t>1</w:t>
      </w:r>
      <w:r w:rsidR="004D2160">
        <w:rPr>
          <w:rFonts w:hint="eastAsia"/>
        </w:rPr>
        <w:t>月</w:t>
      </w:r>
      <w:r w:rsidR="00A2749B">
        <w:rPr>
          <w:rFonts w:hint="eastAsia"/>
        </w:rPr>
        <w:t>から</w:t>
      </w:r>
      <w:r w:rsidR="00A2749B">
        <w:rPr>
          <w:rFonts w:hint="eastAsia"/>
        </w:rPr>
        <w:t>2017</w:t>
      </w:r>
      <w:r w:rsidR="00A2749B">
        <w:rPr>
          <w:rFonts w:hint="eastAsia"/>
        </w:rPr>
        <w:t>年</w:t>
      </w:r>
      <w:r w:rsidR="004D2160">
        <w:rPr>
          <w:rFonts w:hint="eastAsia"/>
        </w:rPr>
        <w:t>12</w:t>
      </w:r>
      <w:r w:rsidR="004D2160">
        <w:rPr>
          <w:rFonts w:hint="eastAsia"/>
        </w:rPr>
        <w:t>月</w:t>
      </w:r>
      <w:r w:rsidR="00A2749B">
        <w:rPr>
          <w:rFonts w:hint="eastAsia"/>
        </w:rPr>
        <w:t>にかけて発行された欧州のグリーンボンド</w:t>
      </w:r>
      <w:r w:rsidR="00A2749B">
        <w:rPr>
          <w:rFonts w:hint="eastAsia"/>
        </w:rPr>
        <w:t>121</w:t>
      </w:r>
      <w:r w:rsidR="00A2749B">
        <w:rPr>
          <w:rFonts w:hint="eastAsia"/>
        </w:rPr>
        <w:t>銘柄を調査した。</w:t>
      </w:r>
      <w:r w:rsidR="004D2160">
        <w:rPr>
          <w:rFonts w:hint="eastAsia"/>
        </w:rPr>
        <w:t>データは</w:t>
      </w:r>
      <w:r w:rsidR="004D2160">
        <w:rPr>
          <w:rFonts w:hint="eastAsia"/>
        </w:rPr>
        <w:t>Bloomberg</w:t>
      </w:r>
      <w:r w:rsidR="004D2160">
        <w:rPr>
          <w:rFonts w:hint="eastAsia"/>
        </w:rPr>
        <w:t>の</w:t>
      </w:r>
      <w:r w:rsidR="004D2160">
        <w:rPr>
          <w:rFonts w:hint="eastAsia"/>
        </w:rPr>
        <w:t xml:space="preserve"> "Bond Radar "</w:t>
      </w:r>
      <w:r w:rsidR="004D2160">
        <w:rPr>
          <w:rFonts w:hint="eastAsia"/>
        </w:rPr>
        <w:t>から取得している。</w:t>
      </w:r>
      <w:r w:rsidR="004D2160">
        <w:rPr>
          <w:rFonts w:hint="eastAsia"/>
        </w:rPr>
        <w:t>2017</w:t>
      </w:r>
      <w:r w:rsidR="004D2160">
        <w:rPr>
          <w:rFonts w:hint="eastAsia"/>
        </w:rPr>
        <w:t>年</w:t>
      </w:r>
      <w:r w:rsidR="004D2160">
        <w:rPr>
          <w:rFonts w:hint="eastAsia"/>
        </w:rPr>
        <w:t>12</w:t>
      </w:r>
      <w:r w:rsidR="004D2160">
        <w:rPr>
          <w:rFonts w:hint="eastAsia"/>
        </w:rPr>
        <w:t>月当時、</w:t>
      </w:r>
      <w:r w:rsidR="004D2160">
        <w:rPr>
          <w:rFonts w:hint="eastAsia"/>
        </w:rPr>
        <w:t>Bond Radar</w:t>
      </w:r>
      <w:r w:rsidR="004D2160">
        <w:rPr>
          <w:rFonts w:hint="eastAsia"/>
        </w:rPr>
        <w:t>は</w:t>
      </w:r>
      <w:r w:rsidR="004D2160">
        <w:rPr>
          <w:rFonts w:hint="eastAsia"/>
        </w:rPr>
        <w:t>2007</w:t>
      </w:r>
      <w:r w:rsidR="004D2160">
        <w:rPr>
          <w:rFonts w:hint="eastAsia"/>
        </w:rPr>
        <w:t>年</w:t>
      </w:r>
      <w:r w:rsidR="004D2160">
        <w:rPr>
          <w:rFonts w:hint="eastAsia"/>
        </w:rPr>
        <w:t>1</w:t>
      </w:r>
      <w:r w:rsidR="004D2160">
        <w:rPr>
          <w:rFonts w:hint="eastAsia"/>
        </w:rPr>
        <w:t>月以降に発行された</w:t>
      </w:r>
      <w:r w:rsidR="004D2160">
        <w:rPr>
          <w:rFonts w:hint="eastAsia"/>
        </w:rPr>
        <w:t>7589</w:t>
      </w:r>
      <w:r w:rsidR="004D2160">
        <w:rPr>
          <w:rFonts w:hint="eastAsia"/>
        </w:rPr>
        <w:t>のユーロ建て公募債を報告しており、そのうち</w:t>
      </w:r>
      <w:r w:rsidR="004D2160">
        <w:rPr>
          <w:rFonts w:hint="eastAsia"/>
        </w:rPr>
        <w:t>154</w:t>
      </w:r>
      <w:r w:rsidR="004D2160">
        <w:rPr>
          <w:rFonts w:hint="eastAsia"/>
        </w:rPr>
        <w:t>がグリーンと分類される。変動利付債、リターンが入手できない債券または規模が</w:t>
      </w:r>
      <w:r w:rsidR="004D2160">
        <w:rPr>
          <w:rFonts w:hint="eastAsia"/>
        </w:rPr>
        <w:t>2</w:t>
      </w:r>
      <w:r w:rsidR="004D2160">
        <w:rPr>
          <w:rFonts w:hint="eastAsia"/>
        </w:rPr>
        <w:t>億ユーロ未満の債券（流動性のある債券のみを対象とするため）、デフォルトリスクの高い債券、欧州金利を用いてプライシングされていない債券はすべてサンプルから除外している。これらの債券は、企業、国、公的機関、多国籍機関、自治体、金融機関など、さまざまな性質の事業体によって発行されており、本研究の包括的なサンプル（</w:t>
      </w:r>
      <w:r w:rsidR="004D2160">
        <w:rPr>
          <w:rFonts w:hint="eastAsia"/>
        </w:rPr>
        <w:t>"All"</w:t>
      </w:r>
      <w:r w:rsidR="004D2160">
        <w:rPr>
          <w:rFonts w:hint="eastAsia"/>
        </w:rPr>
        <w:t>）は</w:t>
      </w:r>
      <w:r w:rsidR="004D2160">
        <w:rPr>
          <w:rFonts w:hint="eastAsia"/>
        </w:rPr>
        <w:t>3055</w:t>
      </w:r>
      <w:r w:rsidR="004D2160">
        <w:rPr>
          <w:rFonts w:hint="eastAsia"/>
        </w:rPr>
        <w:t>銘柄から構成され、そのうち</w:t>
      </w:r>
      <w:r w:rsidR="004D2160">
        <w:rPr>
          <w:rFonts w:hint="eastAsia"/>
        </w:rPr>
        <w:t>121</w:t>
      </w:r>
      <w:r w:rsidR="004D2160">
        <w:rPr>
          <w:rFonts w:hint="eastAsia"/>
        </w:rPr>
        <w:t>銘柄がグリーンボンドとしてラベル付けされたものである。</w:t>
      </w:r>
    </w:p>
    <w:p w14:paraId="6454B300" w14:textId="77777777" w:rsidR="00655734" w:rsidRDefault="00655734" w:rsidP="00655734">
      <w:pPr>
        <w:rPr>
          <w:rFonts w:hint="eastAsia"/>
        </w:rPr>
      </w:pPr>
      <w:r>
        <w:rPr>
          <w:rFonts w:hint="eastAsia"/>
        </w:rPr>
        <w:t xml:space="preserve">　本研究では、傾向スコアマッチングの手法を用いられているが、傾向スコアマッチングは医療統計で用いられることがよくある。ある治療の効果を分析するために、治療を受けた者と受けていない者の２グループに分けることで分析を行う。すなわち、本研究の分析に置き換えると、「グリーンラベルの取得」を治療と呼ぶことで、「グリーンボンド」を治療グループと呼び、「コンベンショナルボンド」を未治療グループと呼ぶことにする。治療による結果の変化（すなわち、発行時のリターン）が、本研究の治療効果である。本研究では，「被処理者に対する平均的な処理効果」</w:t>
      </w:r>
      <w:r>
        <w:rPr>
          <w:rFonts w:hint="eastAsia"/>
        </w:rPr>
        <w:t>(ATT)</w:t>
      </w:r>
      <w:r>
        <w:rPr>
          <w:rFonts w:hint="eastAsia"/>
        </w:rPr>
        <w:t>を推定する．より具体的には、傾向スコアマッチングを用いた</w:t>
      </w:r>
      <w:r>
        <w:rPr>
          <w:rFonts w:hint="eastAsia"/>
        </w:rPr>
        <w:t>ATT</w:t>
      </w:r>
      <w:r>
        <w:rPr>
          <w:rFonts w:hint="eastAsia"/>
        </w:rPr>
        <w:t>の推定には、</w:t>
      </w:r>
      <w:r>
        <w:rPr>
          <w:rFonts w:hint="eastAsia"/>
        </w:rPr>
        <w:t>2</w:t>
      </w:r>
      <w:r>
        <w:rPr>
          <w:rFonts w:hint="eastAsia"/>
        </w:rPr>
        <w:t>段階の手順がある。第一段階では、ロジット関数とプロビット関数を用いて、債券がグリーンである確率を予測するための傾向スコアを推定する。第</w:t>
      </w:r>
      <w:r>
        <w:rPr>
          <w:rFonts w:hint="eastAsia"/>
        </w:rPr>
        <w:t>2</w:t>
      </w:r>
      <w:r>
        <w:rPr>
          <w:rFonts w:hint="eastAsia"/>
        </w:rPr>
        <w:t>段階では、治療グループにあるグリーンボンド１銘柄毎（本研究ではユニットと表現）に、未治療グループにあるコンベンショナルボンドを解析的なマッチング手法で複数のユニットを抽出し、多数のペアを構築する。そしてマッチングしたユニット間のリターンの差を計算することで処理効果を推計する。マッチング手続きは、第</w:t>
      </w:r>
      <w:r>
        <w:rPr>
          <w:rFonts w:hint="eastAsia"/>
        </w:rPr>
        <w:t>1</w:t>
      </w:r>
      <w:r>
        <w:rPr>
          <w:rFonts w:hint="eastAsia"/>
        </w:rPr>
        <w:t>段階で得た連続変数である傾向スコアに基づいて行う。</w:t>
      </w:r>
    </w:p>
    <w:p w14:paraId="7159D602" w14:textId="3F15E88E" w:rsidR="004D2160" w:rsidRDefault="00655734" w:rsidP="00655734">
      <w:pPr>
        <w:rPr>
          <w:rFonts w:hint="eastAsia"/>
        </w:rPr>
      </w:pPr>
      <w:r>
        <w:rPr>
          <w:rFonts w:hint="eastAsia"/>
        </w:rPr>
        <w:t xml:space="preserve">　具体的なマッチングの解析的な手段には、最近傍マッチング（</w:t>
      </w:r>
      <w:r>
        <w:rPr>
          <w:rFonts w:hint="eastAsia"/>
        </w:rPr>
        <w:t>NN</w:t>
      </w:r>
      <w:r>
        <w:t>=</w:t>
      </w:r>
      <w:r>
        <w:rPr>
          <w:rFonts w:hint="eastAsia"/>
        </w:rPr>
        <w:t>3,5,</w:t>
      </w:r>
      <w:r>
        <w:t>8</w:t>
      </w:r>
      <w:r>
        <w:rPr>
          <w:rFonts w:hint="eastAsia"/>
        </w:rPr>
        <w:t>）と、カーネルマッチング、半径（</w:t>
      </w:r>
      <w:r>
        <w:rPr>
          <w:rFonts w:hint="eastAsia"/>
        </w:rPr>
        <w:t>"r"</w:t>
      </w:r>
      <w:r>
        <w:rPr>
          <w:rFonts w:hint="eastAsia"/>
        </w:rPr>
        <w:t>）の異なるラディウスマッチングの３通りを適用している。最近傍マッチングでは、</w:t>
      </w:r>
      <w:r>
        <w:rPr>
          <w:rFonts w:hint="eastAsia"/>
        </w:rPr>
        <w:t>1</w:t>
      </w:r>
      <w:r>
        <w:rPr>
          <w:rFonts w:hint="eastAsia"/>
        </w:rPr>
        <w:t>つの治療ユニットに対して、未治療グループから傾向スコアが最も近い、指定のユニット数（本研究の場合、</w:t>
      </w:r>
      <w:r>
        <w:rPr>
          <w:rFonts w:hint="eastAsia"/>
        </w:rPr>
        <w:t>3</w:t>
      </w:r>
      <w:r>
        <w:rPr>
          <w:rFonts w:hint="eastAsia"/>
        </w:rPr>
        <w:t>、</w:t>
      </w:r>
      <w:r>
        <w:rPr>
          <w:rFonts w:hint="eastAsia"/>
        </w:rPr>
        <w:t>5</w:t>
      </w:r>
      <w:r>
        <w:rPr>
          <w:rFonts w:hint="eastAsia"/>
        </w:rPr>
        <w:t>、</w:t>
      </w:r>
      <w:r>
        <w:rPr>
          <w:rFonts w:hint="eastAsia"/>
        </w:rPr>
        <w:t>8</w:t>
      </w:r>
      <w:r>
        <w:rPr>
          <w:rFonts w:hint="eastAsia"/>
        </w:rPr>
        <w:t>）をマッチングパートナーとして選択する。このマッチング方法では、未治療グループのメンバーを治療ユニットのマッチングパートナーとして複数回使用することを許可している。複数回の使用を認めている最近傍マッチングは、マッチングの平均的な質を高めるものの、指定された数に応じてマッチングが強制的に割り当てることとなり，マッチングの質を低下させている可能性がある．一方、ラディウスマッチングはこの問題の解決に役立つ可能性がある。すなわち、治療ユニットは、傾向スコアがあらかじめ定義された範囲内にある場合にのみ、未治療ユニットとマッチングされる。ユニットがマッチングされる許容距離を示す半径（</w:t>
      </w:r>
      <w:r>
        <w:rPr>
          <w:rFonts w:hint="eastAsia"/>
        </w:rPr>
        <w:t>r</w:t>
      </w:r>
      <w:r>
        <w:rPr>
          <w:rFonts w:hint="eastAsia"/>
        </w:rPr>
        <w:t>）を小さくすればするほど、マッチングの質は向上する可能性がある。最後に，カーネルマッチングでは，未治療グループの全ユニットの加重平均を計算し，与えられた未治療ユニットの傾向スコアが治療ユニットのそれに近いほど，そのウェイトは高くなるという手法である。</w:t>
      </w:r>
    </w:p>
    <w:p w14:paraId="1E7400F7" w14:textId="77777777" w:rsidR="004D2160" w:rsidRDefault="004D2160" w:rsidP="0030445B">
      <w:pPr>
        <w:rPr>
          <w:rFonts w:hint="eastAsia"/>
        </w:rPr>
      </w:pPr>
    </w:p>
    <w:p w14:paraId="640FD69C" w14:textId="0D79DD76" w:rsidR="006273E8" w:rsidRDefault="00F93152" w:rsidP="00FC05F0">
      <w:pPr>
        <w:jc w:val="center"/>
      </w:pPr>
      <w:r>
        <w:rPr>
          <w:rFonts w:hint="eastAsia"/>
        </w:rPr>
        <w:t>プライマリーマーケットにおける</w:t>
      </w:r>
      <w:r w:rsidR="00FC05F0">
        <w:rPr>
          <w:rFonts w:hint="eastAsia"/>
        </w:rPr>
        <w:t>グリーニアムの分析</w:t>
      </w:r>
      <w:r>
        <w:t>(</w:t>
      </w:r>
      <w:r>
        <w:rPr>
          <w:rFonts w:hint="eastAsia"/>
        </w:rPr>
        <w:t>単位：</w:t>
      </w:r>
      <w:proofErr w:type="spellStart"/>
      <w:r>
        <w:t>bp</w:t>
      </w:r>
      <w:proofErr w:type="spellEnd"/>
      <w:r>
        <w:t>)</w:t>
      </w:r>
    </w:p>
    <w:tbl>
      <w:tblPr>
        <w:tblW w:w="8520" w:type="dxa"/>
        <w:jc w:val="center"/>
        <w:tblInd w:w="84" w:type="dxa"/>
        <w:tblCellMar>
          <w:left w:w="99" w:type="dxa"/>
          <w:right w:w="99" w:type="dxa"/>
        </w:tblCellMar>
        <w:tblLook w:val="04A0" w:firstRow="1" w:lastRow="0" w:firstColumn="1" w:lastColumn="0" w:noHBand="0" w:noVBand="1"/>
      </w:tblPr>
      <w:tblGrid>
        <w:gridCol w:w="1500"/>
        <w:gridCol w:w="2340"/>
        <w:gridCol w:w="2340"/>
        <w:gridCol w:w="2340"/>
      </w:tblGrid>
      <w:tr w:rsidR="00B32564" w:rsidRPr="00B32564" w14:paraId="08C41B1F" w14:textId="77777777" w:rsidTr="00B32564">
        <w:trPr>
          <w:trHeight w:val="360"/>
          <w:jc w:val="center"/>
        </w:trPr>
        <w:tc>
          <w:tcPr>
            <w:tcW w:w="1500" w:type="dxa"/>
            <w:tcBorders>
              <w:top w:val="single" w:sz="4" w:space="0" w:color="auto"/>
              <w:left w:val="single" w:sz="4" w:space="0" w:color="auto"/>
              <w:bottom w:val="nil"/>
              <w:right w:val="nil"/>
            </w:tcBorders>
            <w:shd w:val="clear" w:color="auto" w:fill="auto"/>
            <w:noWrap/>
            <w:vAlign w:val="bottom"/>
            <w:hideMark/>
          </w:tcPr>
          <w:p w14:paraId="08C7C142"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Matching:</w:t>
            </w:r>
          </w:p>
        </w:tc>
        <w:tc>
          <w:tcPr>
            <w:tcW w:w="2340" w:type="dxa"/>
            <w:tcBorders>
              <w:top w:val="single" w:sz="4" w:space="0" w:color="auto"/>
              <w:left w:val="nil"/>
              <w:bottom w:val="nil"/>
              <w:right w:val="nil"/>
            </w:tcBorders>
            <w:shd w:val="clear" w:color="auto" w:fill="auto"/>
            <w:noWrap/>
            <w:vAlign w:val="bottom"/>
            <w:hideMark/>
          </w:tcPr>
          <w:p w14:paraId="724DB20D"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proofErr w:type="spellStart"/>
            <w:r w:rsidRPr="00B32564">
              <w:rPr>
                <w:rFonts w:ascii="ＭＳ Ｐゴシック" w:eastAsia="ＭＳ Ｐゴシック" w:hAnsi="ＭＳ Ｐゴシック" w:cs="Times New Roman" w:hint="eastAsia"/>
                <w:color w:val="000000"/>
                <w:kern w:val="0"/>
              </w:rPr>
              <w:t>Neighbours</w:t>
            </w:r>
            <w:proofErr w:type="spellEnd"/>
            <w:r w:rsidRPr="00B32564">
              <w:rPr>
                <w:rFonts w:ascii="ＭＳ Ｐゴシック" w:eastAsia="ＭＳ Ｐゴシック" w:hAnsi="ＭＳ Ｐゴシック" w:cs="Times New Roman" w:hint="eastAsia"/>
                <w:color w:val="000000"/>
                <w:kern w:val="0"/>
              </w:rPr>
              <w:t xml:space="preserve"> matching</w:t>
            </w:r>
          </w:p>
        </w:tc>
        <w:tc>
          <w:tcPr>
            <w:tcW w:w="2340" w:type="dxa"/>
            <w:tcBorders>
              <w:top w:val="single" w:sz="4" w:space="0" w:color="auto"/>
              <w:left w:val="nil"/>
              <w:bottom w:val="nil"/>
              <w:right w:val="nil"/>
            </w:tcBorders>
            <w:shd w:val="clear" w:color="auto" w:fill="auto"/>
            <w:noWrap/>
            <w:vAlign w:val="bottom"/>
            <w:hideMark/>
          </w:tcPr>
          <w:p w14:paraId="29B49BF4"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proofErr w:type="spellStart"/>
            <w:r w:rsidRPr="00B32564">
              <w:rPr>
                <w:rFonts w:ascii="ＭＳ Ｐゴシック" w:eastAsia="ＭＳ Ｐゴシック" w:hAnsi="ＭＳ Ｐゴシック" w:cs="Times New Roman" w:hint="eastAsia"/>
                <w:color w:val="000000"/>
                <w:kern w:val="0"/>
              </w:rPr>
              <w:t>Neighbours</w:t>
            </w:r>
            <w:proofErr w:type="spellEnd"/>
            <w:r w:rsidRPr="00B32564">
              <w:rPr>
                <w:rFonts w:ascii="ＭＳ Ｐゴシック" w:eastAsia="ＭＳ Ｐゴシック" w:hAnsi="ＭＳ Ｐゴシック" w:cs="Times New Roman" w:hint="eastAsia"/>
                <w:color w:val="000000"/>
                <w:kern w:val="0"/>
              </w:rPr>
              <w:t xml:space="preserve"> matching</w:t>
            </w:r>
          </w:p>
        </w:tc>
        <w:tc>
          <w:tcPr>
            <w:tcW w:w="2340" w:type="dxa"/>
            <w:tcBorders>
              <w:top w:val="single" w:sz="4" w:space="0" w:color="auto"/>
              <w:left w:val="nil"/>
              <w:bottom w:val="nil"/>
              <w:right w:val="single" w:sz="4" w:space="0" w:color="auto"/>
            </w:tcBorders>
            <w:shd w:val="clear" w:color="auto" w:fill="auto"/>
            <w:noWrap/>
            <w:vAlign w:val="bottom"/>
            <w:hideMark/>
          </w:tcPr>
          <w:p w14:paraId="10CFA39B"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proofErr w:type="spellStart"/>
            <w:r w:rsidRPr="00B32564">
              <w:rPr>
                <w:rFonts w:ascii="ＭＳ Ｐゴシック" w:eastAsia="ＭＳ Ｐゴシック" w:hAnsi="ＭＳ Ｐゴシック" w:cs="Times New Roman" w:hint="eastAsia"/>
                <w:color w:val="000000"/>
                <w:kern w:val="0"/>
              </w:rPr>
              <w:t>Neighbours</w:t>
            </w:r>
            <w:proofErr w:type="spellEnd"/>
            <w:r w:rsidRPr="00B32564">
              <w:rPr>
                <w:rFonts w:ascii="ＭＳ Ｐゴシック" w:eastAsia="ＭＳ Ｐゴシック" w:hAnsi="ＭＳ Ｐゴシック" w:cs="Times New Roman" w:hint="eastAsia"/>
                <w:color w:val="000000"/>
                <w:kern w:val="0"/>
              </w:rPr>
              <w:t xml:space="preserve"> matching</w:t>
            </w:r>
          </w:p>
        </w:tc>
      </w:tr>
      <w:tr w:rsidR="00B32564" w:rsidRPr="00B32564" w14:paraId="140BE829" w14:textId="77777777" w:rsidTr="00B32564">
        <w:trPr>
          <w:trHeight w:val="360"/>
          <w:jc w:val="center"/>
        </w:trPr>
        <w:tc>
          <w:tcPr>
            <w:tcW w:w="1500" w:type="dxa"/>
            <w:tcBorders>
              <w:top w:val="nil"/>
              <w:left w:val="single" w:sz="4" w:space="0" w:color="auto"/>
              <w:bottom w:val="single" w:sz="4" w:space="0" w:color="auto"/>
              <w:right w:val="nil"/>
            </w:tcBorders>
            <w:shd w:val="clear" w:color="auto" w:fill="auto"/>
            <w:noWrap/>
            <w:vAlign w:val="bottom"/>
            <w:hideMark/>
          </w:tcPr>
          <w:p w14:paraId="6651355F"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 xml:space="preserve">　</w:t>
            </w:r>
          </w:p>
        </w:tc>
        <w:tc>
          <w:tcPr>
            <w:tcW w:w="2340" w:type="dxa"/>
            <w:tcBorders>
              <w:top w:val="nil"/>
              <w:left w:val="nil"/>
              <w:bottom w:val="single" w:sz="4" w:space="0" w:color="auto"/>
              <w:right w:val="nil"/>
            </w:tcBorders>
            <w:shd w:val="clear" w:color="auto" w:fill="auto"/>
            <w:noWrap/>
            <w:vAlign w:val="bottom"/>
            <w:hideMark/>
          </w:tcPr>
          <w:p w14:paraId="547977CB"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(NN=8)</w:t>
            </w:r>
          </w:p>
        </w:tc>
        <w:tc>
          <w:tcPr>
            <w:tcW w:w="2340" w:type="dxa"/>
            <w:tcBorders>
              <w:top w:val="nil"/>
              <w:left w:val="nil"/>
              <w:bottom w:val="single" w:sz="4" w:space="0" w:color="auto"/>
              <w:right w:val="nil"/>
            </w:tcBorders>
            <w:shd w:val="clear" w:color="auto" w:fill="auto"/>
            <w:noWrap/>
            <w:vAlign w:val="bottom"/>
            <w:hideMark/>
          </w:tcPr>
          <w:p w14:paraId="52F5915E"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(NN=5)</w:t>
            </w:r>
          </w:p>
        </w:tc>
        <w:tc>
          <w:tcPr>
            <w:tcW w:w="2340" w:type="dxa"/>
            <w:tcBorders>
              <w:top w:val="nil"/>
              <w:left w:val="nil"/>
              <w:bottom w:val="single" w:sz="4" w:space="0" w:color="auto"/>
              <w:right w:val="single" w:sz="4" w:space="0" w:color="auto"/>
            </w:tcBorders>
            <w:shd w:val="clear" w:color="auto" w:fill="auto"/>
            <w:noWrap/>
            <w:vAlign w:val="bottom"/>
            <w:hideMark/>
          </w:tcPr>
          <w:p w14:paraId="31D6AF32"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(NN=3)</w:t>
            </w:r>
          </w:p>
        </w:tc>
      </w:tr>
      <w:tr w:rsidR="00B32564" w:rsidRPr="00B32564" w14:paraId="6979527C" w14:textId="77777777" w:rsidTr="00B32564">
        <w:trPr>
          <w:trHeight w:val="360"/>
          <w:jc w:val="center"/>
        </w:trPr>
        <w:tc>
          <w:tcPr>
            <w:tcW w:w="1500" w:type="dxa"/>
            <w:tcBorders>
              <w:top w:val="nil"/>
              <w:left w:val="single" w:sz="4" w:space="0" w:color="auto"/>
              <w:bottom w:val="nil"/>
              <w:right w:val="nil"/>
            </w:tcBorders>
            <w:shd w:val="clear" w:color="auto" w:fill="auto"/>
            <w:noWrap/>
            <w:vAlign w:val="bottom"/>
            <w:hideMark/>
          </w:tcPr>
          <w:p w14:paraId="27D61BF4"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ATT</w:t>
            </w:r>
          </w:p>
        </w:tc>
        <w:tc>
          <w:tcPr>
            <w:tcW w:w="2340" w:type="dxa"/>
            <w:tcBorders>
              <w:top w:val="nil"/>
              <w:left w:val="nil"/>
              <w:bottom w:val="nil"/>
              <w:right w:val="nil"/>
            </w:tcBorders>
            <w:shd w:val="clear" w:color="auto" w:fill="auto"/>
            <w:noWrap/>
            <w:vAlign w:val="bottom"/>
            <w:hideMark/>
          </w:tcPr>
          <w:p w14:paraId="5BFB15D0"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-18.47***</w:t>
            </w:r>
          </w:p>
        </w:tc>
        <w:tc>
          <w:tcPr>
            <w:tcW w:w="2340" w:type="dxa"/>
            <w:tcBorders>
              <w:top w:val="nil"/>
              <w:left w:val="nil"/>
              <w:bottom w:val="nil"/>
              <w:right w:val="nil"/>
            </w:tcBorders>
            <w:shd w:val="clear" w:color="auto" w:fill="auto"/>
            <w:noWrap/>
            <w:vAlign w:val="bottom"/>
            <w:hideMark/>
          </w:tcPr>
          <w:p w14:paraId="4A80B2EA"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-18.56***</w:t>
            </w:r>
          </w:p>
        </w:tc>
        <w:tc>
          <w:tcPr>
            <w:tcW w:w="2340" w:type="dxa"/>
            <w:tcBorders>
              <w:top w:val="nil"/>
              <w:left w:val="nil"/>
              <w:bottom w:val="nil"/>
              <w:right w:val="single" w:sz="4" w:space="0" w:color="auto"/>
            </w:tcBorders>
            <w:shd w:val="clear" w:color="auto" w:fill="auto"/>
            <w:noWrap/>
            <w:vAlign w:val="bottom"/>
            <w:hideMark/>
          </w:tcPr>
          <w:p w14:paraId="465C997E"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-14.90***</w:t>
            </w:r>
          </w:p>
        </w:tc>
      </w:tr>
      <w:tr w:rsidR="00B32564" w:rsidRPr="00B32564" w14:paraId="301E3ECC" w14:textId="77777777" w:rsidTr="00B32564">
        <w:trPr>
          <w:trHeight w:val="360"/>
          <w:jc w:val="center"/>
        </w:trPr>
        <w:tc>
          <w:tcPr>
            <w:tcW w:w="1500" w:type="dxa"/>
            <w:tcBorders>
              <w:top w:val="nil"/>
              <w:left w:val="single" w:sz="4" w:space="0" w:color="auto"/>
              <w:bottom w:val="nil"/>
              <w:right w:val="nil"/>
            </w:tcBorders>
            <w:shd w:val="clear" w:color="auto" w:fill="auto"/>
            <w:noWrap/>
            <w:vAlign w:val="bottom"/>
            <w:hideMark/>
          </w:tcPr>
          <w:p w14:paraId="6E5E4579"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proofErr w:type="spellStart"/>
            <w:r w:rsidRPr="00B32564">
              <w:rPr>
                <w:rFonts w:ascii="ＭＳ Ｐゴシック" w:eastAsia="ＭＳ Ｐゴシック" w:hAnsi="ＭＳ Ｐゴシック" w:cs="Times New Roman" w:hint="eastAsia"/>
                <w:color w:val="000000"/>
                <w:kern w:val="0"/>
              </w:rPr>
              <w:t>Std.Err</w:t>
            </w:r>
            <w:proofErr w:type="spellEnd"/>
            <w:r w:rsidRPr="00B32564">
              <w:rPr>
                <w:rFonts w:ascii="ＭＳ Ｐゴシック" w:eastAsia="ＭＳ Ｐゴシック" w:hAnsi="ＭＳ Ｐゴシック" w:cs="Times New Roman" w:hint="eastAsia"/>
                <w:color w:val="000000"/>
                <w:kern w:val="0"/>
              </w:rPr>
              <w:t>.</w:t>
            </w:r>
          </w:p>
        </w:tc>
        <w:tc>
          <w:tcPr>
            <w:tcW w:w="2340" w:type="dxa"/>
            <w:tcBorders>
              <w:top w:val="nil"/>
              <w:left w:val="nil"/>
              <w:bottom w:val="nil"/>
              <w:right w:val="nil"/>
            </w:tcBorders>
            <w:shd w:val="clear" w:color="auto" w:fill="auto"/>
            <w:noWrap/>
            <w:vAlign w:val="bottom"/>
            <w:hideMark/>
          </w:tcPr>
          <w:p w14:paraId="319C1869"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4.37</w:t>
            </w:r>
          </w:p>
        </w:tc>
        <w:tc>
          <w:tcPr>
            <w:tcW w:w="2340" w:type="dxa"/>
            <w:tcBorders>
              <w:top w:val="nil"/>
              <w:left w:val="nil"/>
              <w:bottom w:val="nil"/>
              <w:right w:val="nil"/>
            </w:tcBorders>
            <w:shd w:val="clear" w:color="auto" w:fill="auto"/>
            <w:noWrap/>
            <w:vAlign w:val="bottom"/>
            <w:hideMark/>
          </w:tcPr>
          <w:p w14:paraId="4C614BE3"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4.76</w:t>
            </w:r>
          </w:p>
        </w:tc>
        <w:tc>
          <w:tcPr>
            <w:tcW w:w="2340" w:type="dxa"/>
            <w:tcBorders>
              <w:top w:val="nil"/>
              <w:left w:val="nil"/>
              <w:bottom w:val="nil"/>
              <w:right w:val="single" w:sz="4" w:space="0" w:color="auto"/>
            </w:tcBorders>
            <w:shd w:val="clear" w:color="auto" w:fill="auto"/>
            <w:noWrap/>
            <w:vAlign w:val="bottom"/>
            <w:hideMark/>
          </w:tcPr>
          <w:p w14:paraId="4BA911D7"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5.00</w:t>
            </w:r>
          </w:p>
        </w:tc>
      </w:tr>
      <w:tr w:rsidR="00B32564" w:rsidRPr="00B32564" w14:paraId="49456D3B" w14:textId="77777777" w:rsidTr="00B32564">
        <w:trPr>
          <w:trHeight w:val="360"/>
          <w:jc w:val="center"/>
        </w:trPr>
        <w:tc>
          <w:tcPr>
            <w:tcW w:w="1500" w:type="dxa"/>
            <w:tcBorders>
              <w:top w:val="nil"/>
              <w:left w:val="single" w:sz="4" w:space="0" w:color="auto"/>
              <w:bottom w:val="nil"/>
              <w:right w:val="nil"/>
            </w:tcBorders>
            <w:shd w:val="clear" w:color="auto" w:fill="auto"/>
            <w:noWrap/>
            <w:vAlign w:val="bottom"/>
            <w:hideMark/>
          </w:tcPr>
          <w:p w14:paraId="135BDBD9"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 treated</w:t>
            </w:r>
          </w:p>
        </w:tc>
        <w:tc>
          <w:tcPr>
            <w:tcW w:w="2340" w:type="dxa"/>
            <w:tcBorders>
              <w:top w:val="nil"/>
              <w:left w:val="nil"/>
              <w:bottom w:val="nil"/>
              <w:right w:val="nil"/>
            </w:tcBorders>
            <w:shd w:val="clear" w:color="auto" w:fill="auto"/>
            <w:noWrap/>
            <w:vAlign w:val="bottom"/>
            <w:hideMark/>
          </w:tcPr>
          <w:p w14:paraId="460DCF1A"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121</w:t>
            </w:r>
          </w:p>
        </w:tc>
        <w:tc>
          <w:tcPr>
            <w:tcW w:w="2340" w:type="dxa"/>
            <w:tcBorders>
              <w:top w:val="nil"/>
              <w:left w:val="nil"/>
              <w:bottom w:val="nil"/>
              <w:right w:val="nil"/>
            </w:tcBorders>
            <w:shd w:val="clear" w:color="auto" w:fill="auto"/>
            <w:noWrap/>
            <w:vAlign w:val="bottom"/>
            <w:hideMark/>
          </w:tcPr>
          <w:p w14:paraId="1ACEE5EC"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121</w:t>
            </w:r>
          </w:p>
        </w:tc>
        <w:tc>
          <w:tcPr>
            <w:tcW w:w="2340" w:type="dxa"/>
            <w:tcBorders>
              <w:top w:val="nil"/>
              <w:left w:val="nil"/>
              <w:bottom w:val="nil"/>
              <w:right w:val="single" w:sz="4" w:space="0" w:color="auto"/>
            </w:tcBorders>
            <w:shd w:val="clear" w:color="auto" w:fill="auto"/>
            <w:noWrap/>
            <w:vAlign w:val="bottom"/>
            <w:hideMark/>
          </w:tcPr>
          <w:p w14:paraId="0E576189"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121</w:t>
            </w:r>
          </w:p>
        </w:tc>
      </w:tr>
      <w:tr w:rsidR="00B32564" w:rsidRPr="00B32564" w14:paraId="5E142015" w14:textId="77777777" w:rsidTr="00B32564">
        <w:trPr>
          <w:trHeight w:val="360"/>
          <w:jc w:val="center"/>
        </w:trPr>
        <w:tc>
          <w:tcPr>
            <w:tcW w:w="1500" w:type="dxa"/>
            <w:tcBorders>
              <w:top w:val="nil"/>
              <w:left w:val="single" w:sz="4" w:space="0" w:color="auto"/>
              <w:bottom w:val="single" w:sz="4" w:space="0" w:color="auto"/>
              <w:right w:val="nil"/>
            </w:tcBorders>
            <w:shd w:val="clear" w:color="auto" w:fill="auto"/>
            <w:noWrap/>
            <w:vAlign w:val="bottom"/>
            <w:hideMark/>
          </w:tcPr>
          <w:p w14:paraId="077C4D93"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 untreated</w:t>
            </w:r>
          </w:p>
        </w:tc>
        <w:tc>
          <w:tcPr>
            <w:tcW w:w="2340" w:type="dxa"/>
            <w:tcBorders>
              <w:top w:val="nil"/>
              <w:left w:val="nil"/>
              <w:bottom w:val="single" w:sz="4" w:space="0" w:color="auto"/>
              <w:right w:val="nil"/>
            </w:tcBorders>
            <w:shd w:val="clear" w:color="auto" w:fill="auto"/>
            <w:noWrap/>
            <w:vAlign w:val="bottom"/>
            <w:hideMark/>
          </w:tcPr>
          <w:p w14:paraId="46B8AB69"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535</w:t>
            </w:r>
          </w:p>
        </w:tc>
        <w:tc>
          <w:tcPr>
            <w:tcW w:w="2340" w:type="dxa"/>
            <w:tcBorders>
              <w:top w:val="nil"/>
              <w:left w:val="nil"/>
              <w:bottom w:val="single" w:sz="4" w:space="0" w:color="auto"/>
              <w:right w:val="nil"/>
            </w:tcBorders>
            <w:shd w:val="clear" w:color="auto" w:fill="auto"/>
            <w:noWrap/>
            <w:vAlign w:val="bottom"/>
            <w:hideMark/>
          </w:tcPr>
          <w:p w14:paraId="3594BF06"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385</w:t>
            </w:r>
          </w:p>
        </w:tc>
        <w:tc>
          <w:tcPr>
            <w:tcW w:w="2340" w:type="dxa"/>
            <w:tcBorders>
              <w:top w:val="nil"/>
              <w:left w:val="nil"/>
              <w:bottom w:val="single" w:sz="4" w:space="0" w:color="auto"/>
              <w:right w:val="single" w:sz="4" w:space="0" w:color="auto"/>
            </w:tcBorders>
            <w:shd w:val="clear" w:color="auto" w:fill="auto"/>
            <w:noWrap/>
            <w:vAlign w:val="bottom"/>
            <w:hideMark/>
          </w:tcPr>
          <w:p w14:paraId="267127E4"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254</w:t>
            </w:r>
          </w:p>
        </w:tc>
      </w:tr>
    </w:tbl>
    <w:p w14:paraId="27BC9889" w14:textId="77777777" w:rsidR="00B32564" w:rsidRDefault="00B32564" w:rsidP="0030445B"/>
    <w:tbl>
      <w:tblPr>
        <w:tblW w:w="8520" w:type="dxa"/>
        <w:tblInd w:w="84" w:type="dxa"/>
        <w:tblCellMar>
          <w:left w:w="99" w:type="dxa"/>
          <w:right w:w="99" w:type="dxa"/>
        </w:tblCellMar>
        <w:tblLook w:val="04A0" w:firstRow="1" w:lastRow="0" w:firstColumn="1" w:lastColumn="0" w:noHBand="0" w:noVBand="1"/>
      </w:tblPr>
      <w:tblGrid>
        <w:gridCol w:w="1500"/>
        <w:gridCol w:w="2340"/>
        <w:gridCol w:w="2340"/>
        <w:gridCol w:w="2340"/>
      </w:tblGrid>
      <w:tr w:rsidR="00B32564" w:rsidRPr="00B32564" w14:paraId="4E1AD04B" w14:textId="77777777" w:rsidTr="00B32564">
        <w:trPr>
          <w:trHeight w:val="360"/>
        </w:trPr>
        <w:tc>
          <w:tcPr>
            <w:tcW w:w="1500" w:type="dxa"/>
            <w:tcBorders>
              <w:top w:val="single" w:sz="4" w:space="0" w:color="auto"/>
              <w:left w:val="single" w:sz="4" w:space="0" w:color="auto"/>
              <w:bottom w:val="nil"/>
              <w:right w:val="nil"/>
            </w:tcBorders>
            <w:shd w:val="clear" w:color="auto" w:fill="auto"/>
            <w:noWrap/>
            <w:vAlign w:val="bottom"/>
            <w:hideMark/>
          </w:tcPr>
          <w:p w14:paraId="4B6E9D6C"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Matching:</w:t>
            </w:r>
          </w:p>
        </w:tc>
        <w:tc>
          <w:tcPr>
            <w:tcW w:w="2340" w:type="dxa"/>
            <w:tcBorders>
              <w:top w:val="single" w:sz="4" w:space="0" w:color="auto"/>
              <w:left w:val="nil"/>
              <w:bottom w:val="nil"/>
              <w:right w:val="nil"/>
            </w:tcBorders>
            <w:shd w:val="clear" w:color="auto" w:fill="auto"/>
            <w:noWrap/>
            <w:vAlign w:val="bottom"/>
            <w:hideMark/>
          </w:tcPr>
          <w:p w14:paraId="6D9A18E4"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Radius matching</w:t>
            </w:r>
          </w:p>
        </w:tc>
        <w:tc>
          <w:tcPr>
            <w:tcW w:w="2340" w:type="dxa"/>
            <w:tcBorders>
              <w:top w:val="single" w:sz="4" w:space="0" w:color="auto"/>
              <w:left w:val="nil"/>
              <w:bottom w:val="nil"/>
              <w:right w:val="nil"/>
            </w:tcBorders>
            <w:shd w:val="clear" w:color="auto" w:fill="auto"/>
            <w:noWrap/>
            <w:vAlign w:val="bottom"/>
            <w:hideMark/>
          </w:tcPr>
          <w:p w14:paraId="4BB9C8CE"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Radius matching</w:t>
            </w:r>
          </w:p>
        </w:tc>
        <w:tc>
          <w:tcPr>
            <w:tcW w:w="2340" w:type="dxa"/>
            <w:tcBorders>
              <w:top w:val="single" w:sz="4" w:space="0" w:color="auto"/>
              <w:left w:val="nil"/>
              <w:bottom w:val="nil"/>
              <w:right w:val="single" w:sz="4" w:space="0" w:color="auto"/>
            </w:tcBorders>
            <w:shd w:val="clear" w:color="auto" w:fill="auto"/>
            <w:noWrap/>
            <w:vAlign w:val="bottom"/>
            <w:hideMark/>
          </w:tcPr>
          <w:p w14:paraId="315968EB"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Kernel  matching</w:t>
            </w:r>
          </w:p>
        </w:tc>
      </w:tr>
      <w:tr w:rsidR="00B32564" w:rsidRPr="00B32564" w14:paraId="71726DE9" w14:textId="77777777" w:rsidTr="00B32564">
        <w:trPr>
          <w:trHeight w:val="360"/>
        </w:trPr>
        <w:tc>
          <w:tcPr>
            <w:tcW w:w="1500" w:type="dxa"/>
            <w:tcBorders>
              <w:top w:val="nil"/>
              <w:left w:val="single" w:sz="4" w:space="0" w:color="auto"/>
              <w:bottom w:val="single" w:sz="4" w:space="0" w:color="auto"/>
              <w:right w:val="nil"/>
            </w:tcBorders>
            <w:shd w:val="clear" w:color="auto" w:fill="auto"/>
            <w:noWrap/>
            <w:vAlign w:val="bottom"/>
            <w:hideMark/>
          </w:tcPr>
          <w:p w14:paraId="75B5ADAD"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 xml:space="preserve">　</w:t>
            </w:r>
          </w:p>
        </w:tc>
        <w:tc>
          <w:tcPr>
            <w:tcW w:w="2340" w:type="dxa"/>
            <w:tcBorders>
              <w:top w:val="nil"/>
              <w:left w:val="nil"/>
              <w:bottom w:val="single" w:sz="4" w:space="0" w:color="auto"/>
              <w:right w:val="nil"/>
            </w:tcBorders>
            <w:shd w:val="clear" w:color="auto" w:fill="auto"/>
            <w:noWrap/>
            <w:vAlign w:val="bottom"/>
            <w:hideMark/>
          </w:tcPr>
          <w:p w14:paraId="55D4BD48"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(r=0.001)</w:t>
            </w:r>
          </w:p>
        </w:tc>
        <w:tc>
          <w:tcPr>
            <w:tcW w:w="2340" w:type="dxa"/>
            <w:tcBorders>
              <w:top w:val="nil"/>
              <w:left w:val="nil"/>
              <w:bottom w:val="single" w:sz="4" w:space="0" w:color="auto"/>
              <w:right w:val="nil"/>
            </w:tcBorders>
            <w:shd w:val="clear" w:color="auto" w:fill="auto"/>
            <w:noWrap/>
            <w:vAlign w:val="bottom"/>
            <w:hideMark/>
          </w:tcPr>
          <w:p w14:paraId="5D6E61AD"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(r=0.0005)</w:t>
            </w:r>
          </w:p>
        </w:tc>
        <w:tc>
          <w:tcPr>
            <w:tcW w:w="2340" w:type="dxa"/>
            <w:tcBorders>
              <w:top w:val="nil"/>
              <w:left w:val="nil"/>
              <w:bottom w:val="single" w:sz="4" w:space="0" w:color="auto"/>
              <w:right w:val="single" w:sz="4" w:space="0" w:color="auto"/>
            </w:tcBorders>
            <w:shd w:val="clear" w:color="auto" w:fill="auto"/>
            <w:noWrap/>
            <w:vAlign w:val="bottom"/>
            <w:hideMark/>
          </w:tcPr>
          <w:p w14:paraId="6EA6009D" w14:textId="77777777" w:rsidR="00B32564" w:rsidRPr="00B32564" w:rsidRDefault="00B32564" w:rsidP="00B32564">
            <w:pPr>
              <w:widowControl/>
              <w:jc w:val="center"/>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 xml:space="preserve">　</w:t>
            </w:r>
          </w:p>
        </w:tc>
      </w:tr>
      <w:tr w:rsidR="00B32564" w:rsidRPr="00B32564" w14:paraId="5B12C5BF" w14:textId="77777777" w:rsidTr="00B32564">
        <w:trPr>
          <w:trHeight w:val="360"/>
        </w:trPr>
        <w:tc>
          <w:tcPr>
            <w:tcW w:w="1500" w:type="dxa"/>
            <w:tcBorders>
              <w:top w:val="nil"/>
              <w:left w:val="single" w:sz="4" w:space="0" w:color="auto"/>
              <w:bottom w:val="nil"/>
              <w:right w:val="nil"/>
            </w:tcBorders>
            <w:shd w:val="clear" w:color="auto" w:fill="auto"/>
            <w:noWrap/>
            <w:vAlign w:val="bottom"/>
            <w:hideMark/>
          </w:tcPr>
          <w:p w14:paraId="4DEF6C9E"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ATT</w:t>
            </w:r>
          </w:p>
        </w:tc>
        <w:tc>
          <w:tcPr>
            <w:tcW w:w="2340" w:type="dxa"/>
            <w:tcBorders>
              <w:top w:val="nil"/>
              <w:left w:val="nil"/>
              <w:bottom w:val="nil"/>
              <w:right w:val="nil"/>
            </w:tcBorders>
            <w:shd w:val="clear" w:color="auto" w:fill="auto"/>
            <w:noWrap/>
            <w:vAlign w:val="bottom"/>
            <w:hideMark/>
          </w:tcPr>
          <w:p w14:paraId="7526D5AB"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-19.40***</w:t>
            </w:r>
          </w:p>
        </w:tc>
        <w:tc>
          <w:tcPr>
            <w:tcW w:w="2340" w:type="dxa"/>
            <w:tcBorders>
              <w:top w:val="nil"/>
              <w:left w:val="nil"/>
              <w:bottom w:val="nil"/>
              <w:right w:val="nil"/>
            </w:tcBorders>
            <w:shd w:val="clear" w:color="auto" w:fill="auto"/>
            <w:noWrap/>
            <w:vAlign w:val="bottom"/>
            <w:hideMark/>
          </w:tcPr>
          <w:p w14:paraId="6DDFED04"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-15.17**</w:t>
            </w:r>
          </w:p>
        </w:tc>
        <w:tc>
          <w:tcPr>
            <w:tcW w:w="2340" w:type="dxa"/>
            <w:tcBorders>
              <w:top w:val="nil"/>
              <w:left w:val="nil"/>
              <w:bottom w:val="nil"/>
              <w:right w:val="single" w:sz="4" w:space="0" w:color="auto"/>
            </w:tcBorders>
            <w:shd w:val="clear" w:color="auto" w:fill="auto"/>
            <w:noWrap/>
            <w:vAlign w:val="bottom"/>
            <w:hideMark/>
          </w:tcPr>
          <w:p w14:paraId="4294A1DF"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-16.74***</w:t>
            </w:r>
          </w:p>
        </w:tc>
      </w:tr>
      <w:tr w:rsidR="00B32564" w:rsidRPr="00B32564" w14:paraId="335064CC" w14:textId="77777777" w:rsidTr="00B32564">
        <w:trPr>
          <w:trHeight w:val="360"/>
        </w:trPr>
        <w:tc>
          <w:tcPr>
            <w:tcW w:w="1500" w:type="dxa"/>
            <w:tcBorders>
              <w:top w:val="nil"/>
              <w:left w:val="single" w:sz="4" w:space="0" w:color="auto"/>
              <w:bottom w:val="nil"/>
              <w:right w:val="nil"/>
            </w:tcBorders>
            <w:shd w:val="clear" w:color="auto" w:fill="auto"/>
            <w:noWrap/>
            <w:vAlign w:val="bottom"/>
            <w:hideMark/>
          </w:tcPr>
          <w:p w14:paraId="7A391324"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proofErr w:type="spellStart"/>
            <w:r w:rsidRPr="00B32564">
              <w:rPr>
                <w:rFonts w:ascii="ＭＳ Ｐゴシック" w:eastAsia="ＭＳ Ｐゴシック" w:hAnsi="ＭＳ Ｐゴシック" w:cs="Times New Roman" w:hint="eastAsia"/>
                <w:color w:val="000000"/>
                <w:kern w:val="0"/>
              </w:rPr>
              <w:t>Std.Err</w:t>
            </w:r>
            <w:proofErr w:type="spellEnd"/>
            <w:r w:rsidRPr="00B32564">
              <w:rPr>
                <w:rFonts w:ascii="ＭＳ Ｐゴシック" w:eastAsia="ＭＳ Ｐゴシック" w:hAnsi="ＭＳ Ｐゴシック" w:cs="Times New Roman" w:hint="eastAsia"/>
                <w:color w:val="000000"/>
                <w:kern w:val="0"/>
              </w:rPr>
              <w:t>.</w:t>
            </w:r>
          </w:p>
        </w:tc>
        <w:tc>
          <w:tcPr>
            <w:tcW w:w="2340" w:type="dxa"/>
            <w:tcBorders>
              <w:top w:val="nil"/>
              <w:left w:val="nil"/>
              <w:bottom w:val="nil"/>
              <w:right w:val="nil"/>
            </w:tcBorders>
            <w:shd w:val="clear" w:color="auto" w:fill="auto"/>
            <w:noWrap/>
            <w:vAlign w:val="bottom"/>
            <w:hideMark/>
          </w:tcPr>
          <w:p w14:paraId="7AA03559"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5.88</w:t>
            </w:r>
          </w:p>
        </w:tc>
        <w:tc>
          <w:tcPr>
            <w:tcW w:w="2340" w:type="dxa"/>
            <w:tcBorders>
              <w:top w:val="nil"/>
              <w:left w:val="nil"/>
              <w:bottom w:val="nil"/>
              <w:right w:val="nil"/>
            </w:tcBorders>
            <w:shd w:val="clear" w:color="auto" w:fill="auto"/>
            <w:noWrap/>
            <w:vAlign w:val="bottom"/>
            <w:hideMark/>
          </w:tcPr>
          <w:p w14:paraId="6F2B9F79"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6.74</w:t>
            </w:r>
          </w:p>
        </w:tc>
        <w:tc>
          <w:tcPr>
            <w:tcW w:w="2340" w:type="dxa"/>
            <w:tcBorders>
              <w:top w:val="nil"/>
              <w:left w:val="nil"/>
              <w:bottom w:val="nil"/>
              <w:right w:val="single" w:sz="4" w:space="0" w:color="auto"/>
            </w:tcBorders>
            <w:shd w:val="clear" w:color="auto" w:fill="auto"/>
            <w:noWrap/>
            <w:vAlign w:val="bottom"/>
            <w:hideMark/>
          </w:tcPr>
          <w:p w14:paraId="7791E6CE"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4.31</w:t>
            </w:r>
          </w:p>
        </w:tc>
      </w:tr>
      <w:tr w:rsidR="00B32564" w:rsidRPr="00B32564" w14:paraId="006056ED" w14:textId="77777777" w:rsidTr="00B32564">
        <w:trPr>
          <w:trHeight w:val="360"/>
        </w:trPr>
        <w:tc>
          <w:tcPr>
            <w:tcW w:w="1500" w:type="dxa"/>
            <w:tcBorders>
              <w:top w:val="nil"/>
              <w:left w:val="single" w:sz="4" w:space="0" w:color="auto"/>
              <w:bottom w:val="nil"/>
              <w:right w:val="nil"/>
            </w:tcBorders>
            <w:shd w:val="clear" w:color="auto" w:fill="auto"/>
            <w:noWrap/>
            <w:vAlign w:val="bottom"/>
            <w:hideMark/>
          </w:tcPr>
          <w:p w14:paraId="2E37B89B"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 treated</w:t>
            </w:r>
          </w:p>
        </w:tc>
        <w:tc>
          <w:tcPr>
            <w:tcW w:w="2340" w:type="dxa"/>
            <w:tcBorders>
              <w:top w:val="nil"/>
              <w:left w:val="nil"/>
              <w:bottom w:val="nil"/>
              <w:right w:val="nil"/>
            </w:tcBorders>
            <w:shd w:val="clear" w:color="auto" w:fill="auto"/>
            <w:noWrap/>
            <w:vAlign w:val="bottom"/>
            <w:hideMark/>
          </w:tcPr>
          <w:p w14:paraId="2AB1EBA0"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116</w:t>
            </w:r>
          </w:p>
        </w:tc>
        <w:tc>
          <w:tcPr>
            <w:tcW w:w="2340" w:type="dxa"/>
            <w:tcBorders>
              <w:top w:val="nil"/>
              <w:left w:val="nil"/>
              <w:bottom w:val="nil"/>
              <w:right w:val="nil"/>
            </w:tcBorders>
            <w:shd w:val="clear" w:color="auto" w:fill="auto"/>
            <w:noWrap/>
            <w:vAlign w:val="bottom"/>
            <w:hideMark/>
          </w:tcPr>
          <w:p w14:paraId="06A92063"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100</w:t>
            </w:r>
          </w:p>
        </w:tc>
        <w:tc>
          <w:tcPr>
            <w:tcW w:w="2340" w:type="dxa"/>
            <w:tcBorders>
              <w:top w:val="nil"/>
              <w:left w:val="nil"/>
              <w:bottom w:val="nil"/>
              <w:right w:val="single" w:sz="4" w:space="0" w:color="auto"/>
            </w:tcBorders>
            <w:shd w:val="clear" w:color="auto" w:fill="auto"/>
            <w:noWrap/>
            <w:vAlign w:val="bottom"/>
            <w:hideMark/>
          </w:tcPr>
          <w:p w14:paraId="214C1F7A"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121</w:t>
            </w:r>
          </w:p>
        </w:tc>
      </w:tr>
      <w:tr w:rsidR="00B32564" w:rsidRPr="00B32564" w14:paraId="16E19990" w14:textId="77777777" w:rsidTr="00B32564">
        <w:trPr>
          <w:trHeight w:val="360"/>
        </w:trPr>
        <w:tc>
          <w:tcPr>
            <w:tcW w:w="1500" w:type="dxa"/>
            <w:tcBorders>
              <w:top w:val="nil"/>
              <w:left w:val="single" w:sz="4" w:space="0" w:color="auto"/>
              <w:bottom w:val="single" w:sz="4" w:space="0" w:color="auto"/>
              <w:right w:val="nil"/>
            </w:tcBorders>
            <w:shd w:val="clear" w:color="auto" w:fill="auto"/>
            <w:noWrap/>
            <w:vAlign w:val="bottom"/>
            <w:hideMark/>
          </w:tcPr>
          <w:p w14:paraId="0AF38024" w14:textId="77777777" w:rsidR="00B32564" w:rsidRPr="00B32564" w:rsidRDefault="00B32564" w:rsidP="00B32564">
            <w:pPr>
              <w:widowControl/>
              <w:jc w:val="lef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 untreated</w:t>
            </w:r>
          </w:p>
        </w:tc>
        <w:tc>
          <w:tcPr>
            <w:tcW w:w="2340" w:type="dxa"/>
            <w:tcBorders>
              <w:top w:val="nil"/>
              <w:left w:val="nil"/>
              <w:bottom w:val="single" w:sz="4" w:space="0" w:color="auto"/>
              <w:right w:val="nil"/>
            </w:tcBorders>
            <w:shd w:val="clear" w:color="auto" w:fill="auto"/>
            <w:noWrap/>
            <w:vAlign w:val="bottom"/>
            <w:hideMark/>
          </w:tcPr>
          <w:p w14:paraId="3A87A7D7"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1484</w:t>
            </w:r>
          </w:p>
        </w:tc>
        <w:tc>
          <w:tcPr>
            <w:tcW w:w="2340" w:type="dxa"/>
            <w:tcBorders>
              <w:top w:val="nil"/>
              <w:left w:val="nil"/>
              <w:bottom w:val="single" w:sz="4" w:space="0" w:color="auto"/>
              <w:right w:val="nil"/>
            </w:tcBorders>
            <w:shd w:val="clear" w:color="auto" w:fill="auto"/>
            <w:noWrap/>
            <w:vAlign w:val="bottom"/>
            <w:hideMark/>
          </w:tcPr>
          <w:p w14:paraId="013EC542"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893</w:t>
            </w:r>
          </w:p>
        </w:tc>
        <w:tc>
          <w:tcPr>
            <w:tcW w:w="2340" w:type="dxa"/>
            <w:tcBorders>
              <w:top w:val="nil"/>
              <w:left w:val="nil"/>
              <w:bottom w:val="single" w:sz="4" w:space="0" w:color="auto"/>
              <w:right w:val="single" w:sz="4" w:space="0" w:color="auto"/>
            </w:tcBorders>
            <w:shd w:val="clear" w:color="auto" w:fill="auto"/>
            <w:noWrap/>
            <w:vAlign w:val="bottom"/>
            <w:hideMark/>
          </w:tcPr>
          <w:p w14:paraId="60221738" w14:textId="77777777" w:rsidR="00B32564" w:rsidRPr="00B32564" w:rsidRDefault="00B32564" w:rsidP="00B32564">
            <w:pPr>
              <w:widowControl/>
              <w:jc w:val="right"/>
              <w:rPr>
                <w:rFonts w:ascii="ＭＳ Ｐゴシック" w:eastAsia="ＭＳ Ｐゴシック" w:hAnsi="ＭＳ Ｐゴシック" w:cs="Times New Roman"/>
                <w:color w:val="000000"/>
                <w:kern w:val="0"/>
              </w:rPr>
            </w:pPr>
            <w:r w:rsidRPr="00B32564">
              <w:rPr>
                <w:rFonts w:ascii="ＭＳ Ｐゴシック" w:eastAsia="ＭＳ Ｐゴシック" w:hAnsi="ＭＳ Ｐゴシック" w:cs="Times New Roman" w:hint="eastAsia"/>
                <w:color w:val="000000"/>
                <w:kern w:val="0"/>
              </w:rPr>
              <w:t>2934</w:t>
            </w:r>
          </w:p>
        </w:tc>
      </w:tr>
    </w:tbl>
    <w:p w14:paraId="09348528" w14:textId="56E5950F" w:rsidR="00B32564" w:rsidRDefault="00755269" w:rsidP="0030445B">
      <w:pPr>
        <w:rPr>
          <w:rFonts w:hint="eastAsia"/>
        </w:rPr>
      </w:pPr>
      <w:r w:rsidRPr="00755269">
        <w:rPr>
          <w:rFonts w:hint="eastAsia"/>
        </w:rPr>
        <w:t>(***) (**) (*)</w:t>
      </w:r>
      <w:r w:rsidRPr="00755269">
        <w:rPr>
          <w:rFonts w:hint="eastAsia"/>
        </w:rPr>
        <w:t>は、</w:t>
      </w:r>
      <w:r w:rsidRPr="00755269">
        <w:rPr>
          <w:rFonts w:hint="eastAsia"/>
        </w:rPr>
        <w:t>(1%) (5%) (10%)</w:t>
      </w:r>
      <w:r w:rsidRPr="00755269">
        <w:rPr>
          <w:rFonts w:hint="eastAsia"/>
        </w:rPr>
        <w:t>水準で有意であることを示す</w:t>
      </w:r>
    </w:p>
    <w:p w14:paraId="451F9FB1" w14:textId="77777777" w:rsidR="00B32564" w:rsidRDefault="00B32564" w:rsidP="0030445B">
      <w:pPr>
        <w:rPr>
          <w:rFonts w:hint="eastAsia"/>
        </w:rPr>
      </w:pPr>
    </w:p>
    <w:p w14:paraId="633C0E33" w14:textId="0CF2B28B" w:rsidR="00FC05F0" w:rsidRDefault="00755269" w:rsidP="0030445B">
      <w:pPr>
        <w:rPr>
          <w:rFonts w:hint="eastAsia"/>
        </w:rPr>
      </w:pPr>
      <w:r>
        <w:rPr>
          <w:rFonts w:hint="eastAsia"/>
        </w:rPr>
        <w:t xml:space="preserve">　上記の分析結果から</w:t>
      </w:r>
      <w:r w:rsidR="00EB4E5D">
        <w:rPr>
          <w:rFonts w:hint="eastAsia"/>
        </w:rPr>
        <w:t>、グリーンボンドは、コンベンショナルボンドと</w:t>
      </w:r>
      <w:r w:rsidRPr="00755269">
        <w:rPr>
          <w:rFonts w:hint="eastAsia"/>
        </w:rPr>
        <w:t>比較して平均的に利回りが低く、発行者のコストが低い</w:t>
      </w:r>
      <w:r w:rsidR="00EB4E5D">
        <w:rPr>
          <w:rFonts w:hint="eastAsia"/>
        </w:rPr>
        <w:t>ことが分かった</w:t>
      </w:r>
      <w:r w:rsidRPr="00755269">
        <w:rPr>
          <w:rFonts w:hint="eastAsia"/>
        </w:rPr>
        <w:t>。特に注目すべきは、すべてのマッチング手法でコンベンショナルボンドと</w:t>
      </w:r>
      <w:r w:rsidRPr="00755269">
        <w:rPr>
          <w:rFonts w:hint="eastAsia"/>
        </w:rPr>
        <w:t>10bp</w:t>
      </w:r>
      <w:r w:rsidRPr="00755269">
        <w:rPr>
          <w:rFonts w:hint="eastAsia"/>
        </w:rPr>
        <w:t>以下の差が生じており、</w:t>
      </w:r>
      <w:r w:rsidRPr="00755269">
        <w:rPr>
          <w:rFonts w:hint="eastAsia"/>
        </w:rPr>
        <w:t>5</w:t>
      </w:r>
      <w:r w:rsidR="00EB4E5D">
        <w:rPr>
          <w:rFonts w:hint="eastAsia"/>
        </w:rPr>
        <w:t>％以下の有意水準で結果が</w:t>
      </w:r>
      <w:bookmarkStart w:id="0" w:name="_GoBack"/>
      <w:bookmarkEnd w:id="0"/>
      <w:r w:rsidRPr="00755269">
        <w:rPr>
          <w:rFonts w:hint="eastAsia"/>
        </w:rPr>
        <w:t>得られている。例えば、最近傍マッチング（</w:t>
      </w:r>
      <w:r w:rsidRPr="00755269">
        <w:rPr>
          <w:rFonts w:hint="eastAsia"/>
        </w:rPr>
        <w:t>NN=8</w:t>
      </w:r>
      <w:r w:rsidRPr="00755269">
        <w:rPr>
          <w:rFonts w:hint="eastAsia"/>
        </w:rPr>
        <w:t>または</w:t>
      </w:r>
      <w:r w:rsidRPr="00755269">
        <w:rPr>
          <w:rFonts w:hint="eastAsia"/>
        </w:rPr>
        <w:t>NN=5</w:t>
      </w:r>
      <w:r w:rsidRPr="00755269">
        <w:rPr>
          <w:rFonts w:hint="eastAsia"/>
        </w:rPr>
        <w:t>）を用いた場合、係数は約</w:t>
      </w:r>
      <w:r w:rsidRPr="00755269">
        <w:rPr>
          <w:rFonts w:hint="eastAsia"/>
        </w:rPr>
        <w:t>-18.5bp</w:t>
      </w:r>
      <w:r w:rsidRPr="00755269">
        <w:rPr>
          <w:rFonts w:hint="eastAsia"/>
        </w:rPr>
        <w:t>と推定され、</w:t>
      </w:r>
      <w:r w:rsidRPr="00755269">
        <w:rPr>
          <w:rFonts w:hint="eastAsia"/>
        </w:rPr>
        <w:t>1%</w:t>
      </w:r>
      <w:r w:rsidRPr="00755269">
        <w:rPr>
          <w:rFonts w:hint="eastAsia"/>
        </w:rPr>
        <w:t>水準で有意であった。すなわち、被治療者の平均的な処理効果の推定値は、グリーンラベルがプライマリー市場における債券の価格設定に有意な影響を与えることを示している。</w:t>
      </w:r>
    </w:p>
    <w:p w14:paraId="40943CE9" w14:textId="77777777" w:rsidR="00755269" w:rsidRDefault="00755269" w:rsidP="0030445B">
      <w:pPr>
        <w:rPr>
          <w:rFonts w:hint="eastAsia"/>
        </w:rPr>
      </w:pPr>
    </w:p>
    <w:p w14:paraId="11F19608" w14:textId="77777777" w:rsidR="00755269" w:rsidRDefault="00755269" w:rsidP="0030445B">
      <w:pPr>
        <w:rPr>
          <w:rFonts w:hint="eastAsia"/>
        </w:rPr>
      </w:pPr>
    </w:p>
    <w:p w14:paraId="693E2FE0" w14:textId="77777777" w:rsidR="00B32564" w:rsidRDefault="00B32564" w:rsidP="0030445B"/>
    <w:p w14:paraId="6B0A4BBB" w14:textId="77777777" w:rsidR="00BE78D5" w:rsidRDefault="00BE78D5" w:rsidP="0030445B">
      <w:pPr>
        <w:rPr>
          <w:rFonts w:hint="eastAsia"/>
        </w:rPr>
      </w:pPr>
    </w:p>
    <w:p w14:paraId="74C5799D" w14:textId="77777777" w:rsidR="00DF6D76" w:rsidRDefault="00DF6D76" w:rsidP="0030445B">
      <w:r>
        <w:t>Appendix</w:t>
      </w:r>
    </w:p>
    <w:p w14:paraId="56D7774B" w14:textId="77777777" w:rsidR="00DF6D76" w:rsidRDefault="00DF6D76" w:rsidP="0030445B"/>
    <w:p w14:paraId="6A4823E9" w14:textId="77777777" w:rsidR="009C1289" w:rsidRDefault="009C1289" w:rsidP="009C1289">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ε</m:t>
              </m:r>
            </m:e>
            <m:sub>
              <m:r>
                <w:rPr>
                  <w:rFonts w:ascii="Cambria Math" w:hAnsi="Cambria Math"/>
                </w:rPr>
                <m:t>it</m:t>
              </m:r>
            </m:sub>
          </m:sSub>
        </m:oMath>
      </m:oMathPara>
    </w:p>
    <w:p w14:paraId="6C96A24B" w14:textId="77777777" w:rsidR="009C1289" w:rsidRDefault="009C1289" w:rsidP="009C1289"/>
    <w:p w14:paraId="69DD12BA" w14:textId="77777777" w:rsidR="009C1289" w:rsidRDefault="009C1289" w:rsidP="009C1289"/>
    <w:p w14:paraId="61245098" w14:textId="77777777" w:rsidR="009C1289" w:rsidRDefault="009C1289" w:rsidP="009C1289">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xml:space="preserve"> </m:t>
          </m:r>
        </m:oMath>
      </m:oMathPara>
    </w:p>
    <w:p w14:paraId="4934CE0E" w14:textId="77777777" w:rsidR="009C1289" w:rsidRDefault="009C1289" w:rsidP="009C1289"/>
    <w:p w14:paraId="09D1CC13" w14:textId="77777777" w:rsidR="009C1289" w:rsidRDefault="009C1289" w:rsidP="009C1289">
      <m:oMathPara>
        <m:oMath>
          <m:sSub>
            <m:sSubPr>
              <m:ctrlPr>
                <w:rPr>
                  <w:rFonts w:ascii="Cambria Math" w:hAnsi="Cambria Math"/>
                  <w:i/>
                </w:rPr>
              </m:ctrlPr>
            </m:sSubPr>
            <m:e>
              <m:r>
                <w:rPr>
                  <w:rFonts w:ascii="Cambria Math" w:hAnsi="Cambria Math"/>
                </w:rPr>
                <m:t>AR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it</m:t>
              </m:r>
            </m:sub>
          </m:sSub>
        </m:oMath>
      </m:oMathPara>
    </w:p>
    <w:p w14:paraId="508EB856" w14:textId="77777777" w:rsidR="009C1289" w:rsidRDefault="009C1289" w:rsidP="009C1289"/>
    <w:p w14:paraId="23084A72" w14:textId="77777777" w:rsidR="00DF6D76" w:rsidRDefault="00DF6D76" w:rsidP="0030445B"/>
    <w:sectPr w:rsidR="00DF6D76" w:rsidSect="00A1731B">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97B01" w14:textId="77777777" w:rsidR="00FC05F0" w:rsidRDefault="00FC05F0" w:rsidP="00566705">
      <w:r>
        <w:separator/>
      </w:r>
    </w:p>
  </w:endnote>
  <w:endnote w:type="continuationSeparator" w:id="0">
    <w:p w14:paraId="030EB1B4" w14:textId="77777777" w:rsidR="00FC05F0" w:rsidRDefault="00FC05F0" w:rsidP="0056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ambria Math">
    <w:panose1 w:val="02040503050406030204"/>
    <w:charset w:val="00"/>
    <w:family w:val="auto"/>
    <w:pitch w:val="variable"/>
    <w:sig w:usb0="E00002FF" w:usb1="420024FF" w:usb2="00000000" w:usb3="00000000" w:csb0="0000019F" w:csb1="00000000"/>
  </w:font>
  <w:font w:name="ＭＳ Ｐゴシック">
    <w:panose1 w:val="020B0600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7E560" w14:textId="77777777" w:rsidR="00FC05F0" w:rsidRDefault="00FC05F0" w:rsidP="00566705">
      <w:r>
        <w:separator/>
      </w:r>
    </w:p>
  </w:footnote>
  <w:footnote w:type="continuationSeparator" w:id="0">
    <w:p w14:paraId="3FCD04BA" w14:textId="77777777" w:rsidR="00FC05F0" w:rsidRDefault="00FC05F0" w:rsidP="00566705">
      <w:r>
        <w:continuationSeparator/>
      </w:r>
    </w:p>
  </w:footnote>
  <w:footnote w:id="1">
    <w:p w14:paraId="52332C9F" w14:textId="7A7AA594" w:rsidR="00FC05F0" w:rsidRDefault="00FC05F0">
      <w:pPr>
        <w:pStyle w:val="a7"/>
        <w:rPr>
          <w:rFonts w:hint="eastAsia"/>
        </w:rPr>
      </w:pPr>
      <w:r>
        <w:rPr>
          <w:rStyle w:val="a9"/>
        </w:rPr>
        <w:footnoteRef/>
      </w:r>
      <w:r w:rsidRPr="0064304F">
        <w:rPr>
          <w:rFonts w:eastAsia="ＭＳ 明朝" w:cs="Times New Roman"/>
          <w:color w:val="000000"/>
          <w:kern w:val="0"/>
        </w:rPr>
        <w:t>Green bond</w:t>
      </w:r>
      <w:r w:rsidRPr="00566705">
        <w:rPr>
          <w:rFonts w:hint="eastAsia"/>
        </w:rPr>
        <w:t>は、グリーンボンドを発行したことがある場合に</w:t>
      </w:r>
      <w:r w:rsidRPr="00566705">
        <w:rPr>
          <w:rFonts w:hint="eastAsia"/>
        </w:rPr>
        <w:t>1</w:t>
      </w:r>
      <w:r>
        <w:rPr>
          <w:rFonts w:hint="eastAsia"/>
        </w:rPr>
        <w:t>となるダミー変数</w:t>
      </w:r>
      <w:r w:rsidRPr="00566705">
        <w:rPr>
          <w:rFonts w:hint="eastAsia"/>
        </w:rPr>
        <w:t>。</w:t>
      </w:r>
      <w:r w:rsidRPr="0064304F">
        <w:rPr>
          <w:rFonts w:eastAsia="ＭＳ 明朝" w:cs="Times New Roman"/>
          <w:color w:val="000000"/>
          <w:kern w:val="0"/>
        </w:rPr>
        <w:t>Green bond</w:t>
      </w:r>
      <w:r w:rsidRPr="0064304F">
        <w:t>（</w:t>
      </w:r>
      <w:r w:rsidRPr="0064304F">
        <w:rPr>
          <w:rFonts w:eastAsia="ＭＳ 明朝" w:cs="Times New Roman"/>
          <w:color w:val="000000"/>
          <w:kern w:val="0"/>
        </w:rPr>
        <w:t>pre-issue year</w:t>
      </w:r>
      <w:r w:rsidRPr="0064304F">
        <w:t>）</w:t>
      </w:r>
      <w:r w:rsidRPr="00566705">
        <w:rPr>
          <w:rFonts w:hint="eastAsia"/>
        </w:rPr>
        <w:t>は、グリーンボンド発行の前年を</w:t>
      </w:r>
      <w:r w:rsidRPr="00566705">
        <w:rPr>
          <w:rFonts w:hint="eastAsia"/>
        </w:rPr>
        <w:t>1</w:t>
      </w:r>
      <w:r>
        <w:rPr>
          <w:rFonts w:hint="eastAsia"/>
        </w:rPr>
        <w:t>とするダミー変数</w:t>
      </w:r>
      <w:r w:rsidRPr="00566705">
        <w:rPr>
          <w:rFonts w:hint="eastAsia"/>
        </w:rPr>
        <w:t>。</w:t>
      </w:r>
      <w:r w:rsidRPr="0064304F">
        <w:rPr>
          <w:rFonts w:eastAsia="ＭＳ 明朝" w:cs="Times New Roman"/>
          <w:color w:val="000000"/>
          <w:kern w:val="0"/>
        </w:rPr>
        <w:t>Green bond</w:t>
      </w:r>
      <w:r w:rsidRPr="0064304F">
        <w:t>（</w:t>
      </w:r>
      <w:r w:rsidRPr="0064304F">
        <w:rPr>
          <w:rFonts w:eastAsia="ＭＳ 明朝" w:cs="Times New Roman"/>
          <w:color w:val="000000"/>
          <w:kern w:val="0"/>
        </w:rPr>
        <w:t>short-term, 1year</w:t>
      </w:r>
      <w:r w:rsidRPr="0064304F">
        <w:t>）</w:t>
      </w:r>
      <w:r w:rsidRPr="00566705">
        <w:rPr>
          <w:rFonts w:hint="eastAsia"/>
        </w:rPr>
        <w:t>、</w:t>
      </w:r>
      <w:r w:rsidRPr="0064304F">
        <w:rPr>
          <w:rFonts w:eastAsia="ＭＳ 明朝" w:cs="Times New Roman"/>
          <w:color w:val="000000"/>
          <w:kern w:val="0"/>
        </w:rPr>
        <w:t>Green bond</w:t>
      </w:r>
      <w:r w:rsidRPr="0064304F">
        <w:t>（</w:t>
      </w:r>
      <w:r w:rsidRPr="0064304F">
        <w:rPr>
          <w:rFonts w:eastAsia="ＭＳ 明朝" w:cs="Times New Roman"/>
          <w:color w:val="000000"/>
          <w:kern w:val="0"/>
        </w:rPr>
        <w:t>long-term, 2+year</w:t>
      </w:r>
      <w:r w:rsidRPr="0064304F">
        <w:t>）</w:t>
      </w:r>
      <w:r w:rsidRPr="00566705">
        <w:rPr>
          <w:rFonts w:hint="eastAsia"/>
        </w:rPr>
        <w:t>は、それぞれグリーンボンド発行の翌年とそれ以降について、同様に定義される。</w:t>
      </w:r>
      <w:r w:rsidRPr="0064304F">
        <w:rPr>
          <w:rFonts w:eastAsia="ＭＳ 明朝" w:cs="Times New Roman"/>
          <w:color w:val="000000"/>
          <w:kern w:val="0"/>
        </w:rPr>
        <w:t>Environment rating</w:t>
      </w:r>
      <w:r w:rsidRPr="0064304F">
        <w:t xml:space="preserve"> </w:t>
      </w:r>
      <w:r>
        <w:rPr>
          <w:rFonts w:hint="eastAsia"/>
        </w:rPr>
        <w:t>は</w:t>
      </w:r>
      <w:r w:rsidRPr="00566705">
        <w:rPr>
          <w:rFonts w:hint="eastAsia"/>
        </w:rPr>
        <w:t>ASSET4</w:t>
      </w:r>
      <w:r w:rsidRPr="00566705">
        <w:rPr>
          <w:rFonts w:hint="eastAsia"/>
        </w:rPr>
        <w:t>による環境格付け</w:t>
      </w:r>
      <w:r>
        <w:rPr>
          <w:rFonts w:hint="eastAsia"/>
        </w:rPr>
        <w:t>、</w:t>
      </w:r>
      <w:r w:rsidRPr="0064304F">
        <w:rPr>
          <w:rFonts w:eastAsia="ＭＳ 明朝" w:cs="Times New Roman"/>
          <w:color w:val="000000"/>
          <w:kern w:val="0"/>
        </w:rPr>
        <w:t>CO2 emissions</w:t>
      </w:r>
      <w:r>
        <w:rPr>
          <w:rFonts w:hint="eastAsia"/>
        </w:rPr>
        <w:t>は</w:t>
      </w:r>
      <w:r w:rsidRPr="00566705">
        <w:rPr>
          <w:rFonts w:hint="eastAsia"/>
        </w:rPr>
        <w:t>ASSET4</w:t>
      </w:r>
      <w:r w:rsidRPr="00566705">
        <w:rPr>
          <w:rFonts w:hint="eastAsia"/>
        </w:rPr>
        <w:t>による</w:t>
      </w:r>
      <w:r w:rsidRPr="00566705">
        <w:rPr>
          <w:rFonts w:hint="eastAsia"/>
        </w:rPr>
        <w:t>CO2</w:t>
      </w:r>
      <w:r w:rsidRPr="00566705">
        <w:rPr>
          <w:rFonts w:hint="eastAsia"/>
        </w:rPr>
        <w:t>排出量（トン）を資産の簿価（米ドル）で割った比率</w:t>
      </w:r>
      <w:r>
        <w:rPr>
          <w:rFonts w:hint="eastAsia"/>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32DE0"/>
    <w:multiLevelType w:val="hybridMultilevel"/>
    <w:tmpl w:val="53488CA4"/>
    <w:lvl w:ilvl="0" w:tplc="0409001B">
      <w:start w:val="1"/>
      <w:numFmt w:val="lowerRoman"/>
      <w:lvlText w:val="%1."/>
      <w:lvlJc w:val="righ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6330807"/>
    <w:multiLevelType w:val="hybridMultilevel"/>
    <w:tmpl w:val="5D503B64"/>
    <w:lvl w:ilvl="0" w:tplc="0409001B">
      <w:start w:val="1"/>
      <w:numFmt w:val="lowerRoman"/>
      <w:lvlText w:val="%1."/>
      <w:lvlJc w:val="righ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5B"/>
    <w:rsid w:val="00196643"/>
    <w:rsid w:val="002021BD"/>
    <w:rsid w:val="00272F34"/>
    <w:rsid w:val="002767C2"/>
    <w:rsid w:val="0030445B"/>
    <w:rsid w:val="00382924"/>
    <w:rsid w:val="00481421"/>
    <w:rsid w:val="004C05A3"/>
    <w:rsid w:val="004D2160"/>
    <w:rsid w:val="00566705"/>
    <w:rsid w:val="006273E8"/>
    <w:rsid w:val="0064304F"/>
    <w:rsid w:val="00655734"/>
    <w:rsid w:val="00675EBA"/>
    <w:rsid w:val="00731A09"/>
    <w:rsid w:val="00755269"/>
    <w:rsid w:val="007A39EF"/>
    <w:rsid w:val="008038E0"/>
    <w:rsid w:val="00893748"/>
    <w:rsid w:val="008A3F49"/>
    <w:rsid w:val="008C7D7D"/>
    <w:rsid w:val="00905243"/>
    <w:rsid w:val="009762D2"/>
    <w:rsid w:val="00994377"/>
    <w:rsid w:val="0099486F"/>
    <w:rsid w:val="009C1289"/>
    <w:rsid w:val="00A1731B"/>
    <w:rsid w:val="00A2749B"/>
    <w:rsid w:val="00AA68D3"/>
    <w:rsid w:val="00AD095B"/>
    <w:rsid w:val="00B32564"/>
    <w:rsid w:val="00B67745"/>
    <w:rsid w:val="00BE78D5"/>
    <w:rsid w:val="00C77C4A"/>
    <w:rsid w:val="00CA4692"/>
    <w:rsid w:val="00D54B6A"/>
    <w:rsid w:val="00D57B4D"/>
    <w:rsid w:val="00DF6D76"/>
    <w:rsid w:val="00EB4E5D"/>
    <w:rsid w:val="00F70D69"/>
    <w:rsid w:val="00F93152"/>
    <w:rsid w:val="00FC05F0"/>
    <w:rsid w:val="00FE3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30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5B"/>
    <w:pPr>
      <w:ind w:leftChars="400" w:left="960"/>
    </w:pPr>
  </w:style>
  <w:style w:type="paragraph" w:styleId="a4">
    <w:name w:val="Balloon Text"/>
    <w:basedOn w:val="a"/>
    <w:link w:val="a5"/>
    <w:uiPriority w:val="99"/>
    <w:semiHidden/>
    <w:unhideWhenUsed/>
    <w:rsid w:val="00DF6D76"/>
    <w:rPr>
      <w:rFonts w:ascii="ヒラギノ角ゴ ProN W3" w:eastAsia="ヒラギノ角ゴ ProN W3"/>
      <w:sz w:val="18"/>
      <w:szCs w:val="18"/>
    </w:rPr>
  </w:style>
  <w:style w:type="character" w:customStyle="1" w:styleId="a5">
    <w:name w:val="吹き出し (文字)"/>
    <w:basedOn w:val="a0"/>
    <w:link w:val="a4"/>
    <w:uiPriority w:val="99"/>
    <w:semiHidden/>
    <w:rsid w:val="00DF6D76"/>
    <w:rPr>
      <w:rFonts w:ascii="ヒラギノ角ゴ ProN W3" w:eastAsia="ヒラギノ角ゴ ProN W3"/>
      <w:sz w:val="18"/>
      <w:szCs w:val="18"/>
    </w:rPr>
  </w:style>
  <w:style w:type="character" w:styleId="a6">
    <w:name w:val="Placeholder Text"/>
    <w:basedOn w:val="a0"/>
    <w:uiPriority w:val="99"/>
    <w:semiHidden/>
    <w:rsid w:val="00DF6D76"/>
    <w:rPr>
      <w:color w:val="808080"/>
    </w:rPr>
  </w:style>
  <w:style w:type="paragraph" w:styleId="a7">
    <w:name w:val="footnote text"/>
    <w:basedOn w:val="a"/>
    <w:link w:val="a8"/>
    <w:uiPriority w:val="99"/>
    <w:unhideWhenUsed/>
    <w:rsid w:val="00566705"/>
    <w:pPr>
      <w:snapToGrid w:val="0"/>
      <w:jc w:val="left"/>
    </w:pPr>
  </w:style>
  <w:style w:type="character" w:customStyle="1" w:styleId="a8">
    <w:name w:val="脚注文字列 (文字)"/>
    <w:basedOn w:val="a0"/>
    <w:link w:val="a7"/>
    <w:uiPriority w:val="99"/>
    <w:rsid w:val="00566705"/>
  </w:style>
  <w:style w:type="character" w:styleId="a9">
    <w:name w:val="footnote reference"/>
    <w:basedOn w:val="a0"/>
    <w:uiPriority w:val="99"/>
    <w:unhideWhenUsed/>
    <w:rsid w:val="0056670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5B"/>
    <w:pPr>
      <w:ind w:leftChars="400" w:left="960"/>
    </w:pPr>
  </w:style>
  <w:style w:type="paragraph" w:styleId="a4">
    <w:name w:val="Balloon Text"/>
    <w:basedOn w:val="a"/>
    <w:link w:val="a5"/>
    <w:uiPriority w:val="99"/>
    <w:semiHidden/>
    <w:unhideWhenUsed/>
    <w:rsid w:val="00DF6D76"/>
    <w:rPr>
      <w:rFonts w:ascii="ヒラギノ角ゴ ProN W3" w:eastAsia="ヒラギノ角ゴ ProN W3"/>
      <w:sz w:val="18"/>
      <w:szCs w:val="18"/>
    </w:rPr>
  </w:style>
  <w:style w:type="character" w:customStyle="1" w:styleId="a5">
    <w:name w:val="吹き出し (文字)"/>
    <w:basedOn w:val="a0"/>
    <w:link w:val="a4"/>
    <w:uiPriority w:val="99"/>
    <w:semiHidden/>
    <w:rsid w:val="00DF6D76"/>
    <w:rPr>
      <w:rFonts w:ascii="ヒラギノ角ゴ ProN W3" w:eastAsia="ヒラギノ角ゴ ProN W3"/>
      <w:sz w:val="18"/>
      <w:szCs w:val="18"/>
    </w:rPr>
  </w:style>
  <w:style w:type="character" w:styleId="a6">
    <w:name w:val="Placeholder Text"/>
    <w:basedOn w:val="a0"/>
    <w:uiPriority w:val="99"/>
    <w:semiHidden/>
    <w:rsid w:val="00DF6D76"/>
    <w:rPr>
      <w:color w:val="808080"/>
    </w:rPr>
  </w:style>
  <w:style w:type="paragraph" w:styleId="a7">
    <w:name w:val="footnote text"/>
    <w:basedOn w:val="a"/>
    <w:link w:val="a8"/>
    <w:uiPriority w:val="99"/>
    <w:unhideWhenUsed/>
    <w:rsid w:val="00566705"/>
    <w:pPr>
      <w:snapToGrid w:val="0"/>
      <w:jc w:val="left"/>
    </w:pPr>
  </w:style>
  <w:style w:type="character" w:customStyle="1" w:styleId="a8">
    <w:name w:val="脚注文字列 (文字)"/>
    <w:basedOn w:val="a0"/>
    <w:link w:val="a7"/>
    <w:uiPriority w:val="99"/>
    <w:rsid w:val="00566705"/>
  </w:style>
  <w:style w:type="character" w:styleId="a9">
    <w:name w:val="footnote reference"/>
    <w:basedOn w:val="a0"/>
    <w:uiPriority w:val="99"/>
    <w:unhideWhenUsed/>
    <w:rsid w:val="005667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50822">
      <w:bodyDiv w:val="1"/>
      <w:marLeft w:val="0"/>
      <w:marRight w:val="0"/>
      <w:marTop w:val="0"/>
      <w:marBottom w:val="0"/>
      <w:divBdr>
        <w:top w:val="none" w:sz="0" w:space="0" w:color="auto"/>
        <w:left w:val="none" w:sz="0" w:space="0" w:color="auto"/>
        <w:bottom w:val="none" w:sz="0" w:space="0" w:color="auto"/>
        <w:right w:val="none" w:sz="0" w:space="0" w:color="auto"/>
      </w:divBdr>
    </w:div>
    <w:div w:id="825169875">
      <w:bodyDiv w:val="1"/>
      <w:marLeft w:val="0"/>
      <w:marRight w:val="0"/>
      <w:marTop w:val="0"/>
      <w:marBottom w:val="0"/>
      <w:divBdr>
        <w:top w:val="none" w:sz="0" w:space="0" w:color="auto"/>
        <w:left w:val="none" w:sz="0" w:space="0" w:color="auto"/>
        <w:bottom w:val="none" w:sz="0" w:space="0" w:color="auto"/>
        <w:right w:val="none" w:sz="0" w:space="0" w:color="auto"/>
      </w:divBdr>
    </w:div>
    <w:div w:id="917326747">
      <w:bodyDiv w:val="1"/>
      <w:marLeft w:val="0"/>
      <w:marRight w:val="0"/>
      <w:marTop w:val="0"/>
      <w:marBottom w:val="0"/>
      <w:divBdr>
        <w:top w:val="none" w:sz="0" w:space="0" w:color="auto"/>
        <w:left w:val="none" w:sz="0" w:space="0" w:color="auto"/>
        <w:bottom w:val="none" w:sz="0" w:space="0" w:color="auto"/>
        <w:right w:val="none" w:sz="0" w:space="0" w:color="auto"/>
      </w:divBdr>
    </w:div>
    <w:div w:id="927234628">
      <w:bodyDiv w:val="1"/>
      <w:marLeft w:val="0"/>
      <w:marRight w:val="0"/>
      <w:marTop w:val="0"/>
      <w:marBottom w:val="0"/>
      <w:divBdr>
        <w:top w:val="none" w:sz="0" w:space="0" w:color="auto"/>
        <w:left w:val="none" w:sz="0" w:space="0" w:color="auto"/>
        <w:bottom w:val="none" w:sz="0" w:space="0" w:color="auto"/>
        <w:right w:val="none" w:sz="0" w:space="0" w:color="auto"/>
      </w:divBdr>
    </w:div>
    <w:div w:id="950016542">
      <w:bodyDiv w:val="1"/>
      <w:marLeft w:val="0"/>
      <w:marRight w:val="0"/>
      <w:marTop w:val="0"/>
      <w:marBottom w:val="0"/>
      <w:divBdr>
        <w:top w:val="none" w:sz="0" w:space="0" w:color="auto"/>
        <w:left w:val="none" w:sz="0" w:space="0" w:color="auto"/>
        <w:bottom w:val="none" w:sz="0" w:space="0" w:color="auto"/>
        <w:right w:val="none" w:sz="0" w:space="0" w:color="auto"/>
      </w:divBdr>
    </w:div>
    <w:div w:id="1048720954">
      <w:bodyDiv w:val="1"/>
      <w:marLeft w:val="0"/>
      <w:marRight w:val="0"/>
      <w:marTop w:val="0"/>
      <w:marBottom w:val="0"/>
      <w:divBdr>
        <w:top w:val="none" w:sz="0" w:space="0" w:color="auto"/>
        <w:left w:val="none" w:sz="0" w:space="0" w:color="auto"/>
        <w:bottom w:val="none" w:sz="0" w:space="0" w:color="auto"/>
        <w:right w:val="none" w:sz="0" w:space="0" w:color="auto"/>
      </w:divBdr>
    </w:div>
    <w:div w:id="1109273389">
      <w:bodyDiv w:val="1"/>
      <w:marLeft w:val="0"/>
      <w:marRight w:val="0"/>
      <w:marTop w:val="0"/>
      <w:marBottom w:val="0"/>
      <w:divBdr>
        <w:top w:val="none" w:sz="0" w:space="0" w:color="auto"/>
        <w:left w:val="none" w:sz="0" w:space="0" w:color="auto"/>
        <w:bottom w:val="none" w:sz="0" w:space="0" w:color="auto"/>
        <w:right w:val="none" w:sz="0" w:space="0" w:color="auto"/>
      </w:divBdr>
    </w:div>
    <w:div w:id="1275163972">
      <w:bodyDiv w:val="1"/>
      <w:marLeft w:val="0"/>
      <w:marRight w:val="0"/>
      <w:marTop w:val="0"/>
      <w:marBottom w:val="0"/>
      <w:divBdr>
        <w:top w:val="none" w:sz="0" w:space="0" w:color="auto"/>
        <w:left w:val="none" w:sz="0" w:space="0" w:color="auto"/>
        <w:bottom w:val="none" w:sz="0" w:space="0" w:color="auto"/>
        <w:right w:val="none" w:sz="0" w:space="0" w:color="auto"/>
      </w:divBdr>
    </w:div>
    <w:div w:id="1391726300">
      <w:bodyDiv w:val="1"/>
      <w:marLeft w:val="0"/>
      <w:marRight w:val="0"/>
      <w:marTop w:val="0"/>
      <w:marBottom w:val="0"/>
      <w:divBdr>
        <w:top w:val="none" w:sz="0" w:space="0" w:color="auto"/>
        <w:left w:val="none" w:sz="0" w:space="0" w:color="auto"/>
        <w:bottom w:val="none" w:sz="0" w:space="0" w:color="auto"/>
        <w:right w:val="none" w:sz="0" w:space="0" w:color="auto"/>
      </w:divBdr>
    </w:div>
    <w:div w:id="1834100713">
      <w:bodyDiv w:val="1"/>
      <w:marLeft w:val="0"/>
      <w:marRight w:val="0"/>
      <w:marTop w:val="0"/>
      <w:marBottom w:val="0"/>
      <w:divBdr>
        <w:top w:val="none" w:sz="0" w:space="0" w:color="auto"/>
        <w:left w:val="none" w:sz="0" w:space="0" w:color="auto"/>
        <w:bottom w:val="none" w:sz="0" w:space="0" w:color="auto"/>
        <w:right w:val="none" w:sz="0" w:space="0" w:color="auto"/>
      </w:divBdr>
    </w:div>
    <w:div w:id="1904870804">
      <w:bodyDiv w:val="1"/>
      <w:marLeft w:val="0"/>
      <w:marRight w:val="0"/>
      <w:marTop w:val="0"/>
      <w:marBottom w:val="0"/>
      <w:divBdr>
        <w:top w:val="none" w:sz="0" w:space="0" w:color="auto"/>
        <w:left w:val="none" w:sz="0" w:space="0" w:color="auto"/>
        <w:bottom w:val="none" w:sz="0" w:space="0" w:color="auto"/>
        <w:right w:val="none" w:sz="0" w:space="0" w:color="auto"/>
      </w:divBdr>
    </w:div>
    <w:div w:id="210911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875</Words>
  <Characters>4990</Characters>
  <Application>Microsoft Macintosh Word</Application>
  <DocSecurity>0</DocSecurity>
  <Lines>41</Lines>
  <Paragraphs>11</Paragraphs>
  <ScaleCrop>false</ScaleCrop>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門脇 俊輔</dc:creator>
  <cp:keywords/>
  <dc:description/>
  <cp:lastModifiedBy>門脇 俊輔</cp:lastModifiedBy>
  <cp:revision>17</cp:revision>
  <dcterms:created xsi:type="dcterms:W3CDTF">2022-09-08T15:52:00Z</dcterms:created>
  <dcterms:modified xsi:type="dcterms:W3CDTF">2022-09-10T13:17:00Z</dcterms:modified>
</cp:coreProperties>
</file>