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BC Pension Corporation — Fabric Delivery Guide</w:t>
      </w:r>
    </w:p>
    <w:p>
      <w:r>
        <w:rPr>
          <w:b/>
        </w:rPr>
        <w:t>What this is.</w:t>
      </w:r>
      <w:r>
        <w:t xml:space="preserve"> A plain-language companion to the milestone plan. For every item in the three</w:t>
      </w:r>
    </w:p>
    <w:p>
      <w:r>
        <w:t xml:space="preserve">milestones it answers two questions: </w:t>
      </w:r>
      <w:r>
        <w:rPr>
          <w:b/>
        </w:rPr>
        <w:t>what it means in Microsoft Fabric</w:t>
      </w:r>
      <w:r>
        <w:t xml:space="preserve"> (concept, not deep tech)</w:t>
      </w:r>
    </w:p>
    <w:p>
      <w:r>
        <w:t xml:space="preserve">and </w:t>
      </w:r>
      <w:r>
        <w:rPr>
          <w:b/>
        </w:rPr>
        <w:t>how we control it</w:t>
      </w:r>
      <w:r>
        <w:t xml:space="preserve"> — either because our Fabric </w:t>
      </w:r>
      <w:r>
        <w:rPr>
          <w:b/>
        </w:rPr>
        <w:t>platform</w:t>
      </w:r>
      <w:r>
        <w:t xml:space="preserve"> already handles it, or because we</w:t>
      </w:r>
    </w:p>
    <w:p>
      <w:r>
        <w:t xml:space="preserve">recommend a </w:t>
      </w:r>
      <w:r>
        <w:rPr>
          <w:b/>
        </w:rPr>
        <w:t>standard</w:t>
      </w:r>
      <w:r>
        <w:t xml:space="preserve"> for BCPC to adopt.</w:t>
      </w:r>
    </w:p>
    <w:p>
      <w:r>
        <w:rPr>
          <w:b/>
        </w:rPr>
        <w:t>Audience.</w:t>
      </w:r>
      <w:r>
        <w:t xml:space="preserve"> Anyone with a working familiarity of Fabric. We stay at the "what and how we manage</w:t>
      </w:r>
    </w:p>
    <w:p>
      <w:r>
        <w:t>it" level and avoid implementation detail.</w:t>
      </w:r>
    </w:p>
    <w:p>
      <w:r>
        <w:rPr>
          <w:b/>
        </w:rPr>
        <w:t>How to read each item.</w:t>
      </w:r>
      <w:r>
        <w:t xml:space="preserve"> Every item below carries one tag:</w:t>
      </w:r>
    </w:p>
    <w:p>
      <w:pPr>
        <w:pStyle w:val="ListBullet"/>
        <w:ind w:left="360"/>
      </w:pPr>
      <w:r>
        <w:rPr>
          <w:b/>
        </w:rPr>
        <w:t>Platform</w:t>
      </w:r>
      <w:r>
        <w:t xml:space="preserve"> — already implemented in our Fabric control plane (our config-as-code framework does it).</w:t>
      </w:r>
    </w:p>
    <w:p>
      <w:pPr>
        <w:pStyle w:val="ListBullet"/>
        <w:ind w:left="360"/>
      </w:pPr>
      <w:r>
        <w:rPr>
          <w:b/>
        </w:rPr>
        <w:t>Standard</w:t>
      </w:r>
      <w:r>
        <w:t xml:space="preserve"> — a governance/operating standard we recommend BCPC adopt (a policy or decision, not code).</w:t>
      </w:r>
    </w:p>
    <w:p>
      <w:pPr>
        <w:pStyle w:val="ListBullet"/>
        <w:ind w:left="360"/>
      </w:pPr>
      <w:r>
        <w:rPr>
          <w:b/>
        </w:rPr>
        <w:t>Both</w:t>
      </w:r>
      <w:r>
        <w:t xml:space="preserve"> — the platform provides the mechanism; a standard sets the policy on top of it.</w:t>
      </w:r>
    </w:p>
    <w:p>
      <w:r>
        <w:t xml:space="preserve">&gt; Our </w:t>
      </w:r>
      <w:r>
        <w:rPr>
          <w:b/>
        </w:rPr>
        <w:t>control plane</w:t>
      </w:r>
      <w:r>
        <w:t xml:space="preserve"> is the config-as-code framework we built on Fabric: you declare *what* to</w:t>
      </w:r>
    </w:p>
    <w:p>
      <w:r>
        <w:t>&gt; load and *how* to govern it as configuration, and the framework connects, ingests, cleanses,</w:t>
      </w:r>
    </w:p>
    <w:p>
      <w:r>
        <w:t>&gt; quality-checks, models, and secures the data across DEV / UAT / PROD. Wherever an item says</w:t>
      </w:r>
    </w:p>
    <w:p>
      <w:r>
        <w:t xml:space="preserve">&gt; </w:t>
      </w:r>
      <w:r>
        <w:rPr>
          <w:b/>
        </w:rPr>
        <w:t>Platform</w:t>
      </w:r>
      <w:r>
        <w:t>, this is what's doing the work.</w:t>
      </w:r>
    </w:p>
    <w:p>
      <w:pPr>
        <w:pStyle w:val="Heading3"/>
      </w:pPr>
      <w:r/>
      <w:r>
        <w:t>The three milestones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1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*Foundation first (the platform everything runs on), then get data in and managed, then turn it</w:t>
      </w:r>
    </w:p>
    <w:p>
      <w:r>
        <w:t>into governed analytics.*</w:t>
      </w:r>
    </w:p>
    <w:p>
      <w:pPr>
        <w:pStyle w:val="Heading2"/>
      </w:pPr>
      <w:r/>
      <w:r>
        <w:t>Milestone 1 — Fabric Platform Foundation</w:t>
      </w:r>
    </w:p>
    <w:p>
      <w:r>
        <w:rPr>
          <w:b/>
        </w:rPr>
        <w:t>Goal:</w:t>
      </w:r>
      <w:r>
        <w:t xml:space="preserve"> stand up the infrastructure, governance, security, architecture, and operating framework</w:t>
      </w:r>
    </w:p>
    <w:p>
      <w:r>
        <w:t>that everything else runs on.</w:t>
      </w:r>
    </w:p>
    <w:p>
      <w:pPr>
        <w:pStyle w:val="Heading3"/>
      </w:pPr>
      <w:r/>
      <w:r>
        <w:t>How the platform fits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*Everything sits on a </w:t>
      </w:r>
      <w:r>
        <w:rPr>
          <w:b/>
        </w:rPr>
        <w:t>Capacity</w:t>
      </w:r>
      <w:r>
        <w:t xml:space="preserve">, is organized into </w:t>
      </w:r>
      <w:r>
        <w:rPr>
          <w:b/>
        </w:rPr>
        <w:t>Workspaces / Domains</w:t>
      </w:r>
      <w:r>
        <w:t>, and flows through</w:t>
      </w:r>
    </w:p>
    <w:p>
      <w:r>
        <w:t xml:space="preserve">the </w:t>
      </w:r>
      <w:r>
        <w:rPr>
          <w:b/>
        </w:rPr>
        <w:t>medallion</w:t>
      </w:r>
      <w:r>
        <w:t xml:space="preserve"> to reports — with </w:t>
      </w:r>
      <w:r>
        <w:rPr>
          <w:b/>
        </w:rPr>
        <w:t>security and governance</w:t>
      </w:r>
      <w:r>
        <w:t xml:space="preserve"> applied across every layer. The</w:t>
      </w:r>
    </w:p>
    <w:p>
      <w:r>
        <w:t>items below are the pieces of this picture.*</w:t>
      </w:r>
    </w:p>
    <w:p>
      <w:r>
        <w:t xml:space="preserve">&gt; The recommended </w:t>
      </w:r>
      <w:r>
        <w:rPr>
          <w:b/>
        </w:rPr>
        <w:t>workspace shape</w:t>
      </w:r>
      <w:r>
        <w:t xml:space="preserve"> — a central </w:t>
      </w:r>
      <w:r>
        <w:rPr>
          <w:b/>
        </w:rPr>
        <w:t>hub</w:t>
      </w:r>
      <w:r>
        <w:t xml:space="preserve"> that loads the data, with domain </w:t>
      </w:r>
      <w:r>
        <w:rPr>
          <w:b/>
        </w:rPr>
        <w:t>spokes</w:t>
      </w:r>
    </w:p>
    <w:p>
      <w:r>
        <w:t xml:space="preserve">&gt; that shortcut to it — is set out in the </w:t>
      </w:r>
      <w:r>
        <w:rPr>
          <w:b/>
        </w:rPr>
        <w:t>[Platform Topology — Hub &amp; Spoke](#platform-topology--hub--spoke)</w:t>
      </w:r>
    </w:p>
    <w:p>
      <w:r>
        <w:t>&gt; section, along with the security model behind it.</w:t>
      </w:r>
    </w:p>
    <w:p>
      <w:pPr>
        <w:pStyle w:val="Heading3"/>
      </w:pPr>
      <w:r/>
      <w:r>
        <w:t>Establish Fabric Infrastructure Foundation</w:t>
      </w:r>
    </w:p>
    <w:p>
      <w:r>
        <w:t>*The physical footing: the compute we buy, the network path to our data, and the replication options.*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Provision Fabric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compute + storage tier (an F-SKU) that powers every workspace, pipeline, and report in the tenant.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Size an F-SKU to the workload and assign it to the project workspaces; our provisioning script then stands up everything that runs on it, identically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Configure Capacity Administration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admin controls for that capacity — who manages it, feature switches, workload limits, surge protection.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named capacity-admin group manages it in the Admin portal; we recommend surge-protection and throttling guardrails so one workload can't starve others.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Fabric Data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that lets Fabric reach data behind a private network (on-prem or private OCI/Azure).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ingestion routes private sources through the gateway; we've documented the gateway architecture, including reusing the </w:t>
            </w:r>
            <w:r>
              <w:rPr>
                <w:b/>
                <w:sz w:val="18"/>
              </w:rPr>
              <w:t>existing VNet gateway</w:t>
            </w:r>
            <w:r>
              <w:rPr>
                <w:sz w:val="18"/>
              </w:rPr>
              <w:t xml:space="preserve"> vs standing up a dedicated one.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Gateway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actually reach a source through the gateway.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"test connection" per source before onboarding, plus a documented checklist (firewall, DNS, service account).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Gateway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Choosing gateway type and network path (VNet data gateway vs on-premises data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We produced the private-OCI architecture diagrams — the framework path reusing the VNet gateway, and the mirroring path requiring a dedicated on-prem gateway.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SQL MI Mirroring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near-real-time mirroring works for Azure SQL Managed Instance.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we've mapped how a mirrored database feeds our Silver/Gold and recommend it for specific near-real-time tables.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Oracle Mirroring Feasibility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Oracle mirroring fits BCPC (prerequisites, limits, cost, promotion).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our *Bronze vs Mirroring* analysis — GA status, the invasive prerequisites, coverage limits, gateway needs, and a clear recommendation.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Infrastructure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written, shared picture of the platform's infrastructure.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architecture diagrams and this guide are that documentation, kept in the repo alongside the code.</w:t>
            </w:r>
          </w:p>
        </w:tc>
      </w:tr>
    </w:tbl>
    <w:p/>
    <w:p>
      <w:pPr>
        <w:pStyle w:val="Heading3"/>
      </w:pPr>
      <w:r/>
      <w:r>
        <w:t>Establish Fabric Platform Foundation</w:t>
      </w:r>
    </w:p>
    <w:p>
      <w:r>
        <w:t>*The logical structure: workspaces, domains, and the lakehouses where data lives — plus the reusable patterns that make new work fast.*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Fabric Workspaces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 are the containers that hold items (lakehouses, pipelines, reports) and carry access + capacity.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Our provisioning script creates the workspaces per environment; nothing is hand-clicked.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you divide work into workspaces (by environment, domain, project, or product).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We recommend an environment split (DEV / UAT / PROD) with domain-aligned workspaces inside, so promotion and access stay clean.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Domain Alignment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 </w:t>
            </w:r>
            <w:r>
              <w:rPr>
                <w:b/>
                <w:sz w:val="18"/>
              </w:rPr>
              <w:t>domains</w:t>
            </w:r>
            <w:r>
              <w:rPr>
                <w:sz w:val="18"/>
              </w:rPr>
              <w:t xml:space="preserve"> group workspaces by business area for ownership and discovery.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domains to BCPC business areas (e.g. Pensions, Employer, Member) so ownership and data discovery follow the org.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Lakehouses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Lakehouses are the storage+table layer in OneLake where data lands and is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framework creates the schema-enabled lakehouses (metadata, bronze, silver, gold, file-drop) as declared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Organization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Naming and layout of lakehouses, schemas, and tables.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Enforced by convention: schema-enabled lakehouses, medallion layers, and a single naming rule (</w:t>
            </w:r>
            <w:r>
              <w:rPr>
                <w:rFonts w:ascii="Consolas" w:hAnsi="Consolas"/>
                <w:color w:val="A31F34"/>
                <w:sz w:val="18"/>
              </w:rPr>
              <w:t>schema.table</w:t>
            </w:r>
            <w:r>
              <w:rPr>
                <w:sz w:val="18"/>
              </w:rPr>
              <w:t>), all driven from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Public Dataset Reference 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pattern for bringing external/open reference data into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Demonstrated end-to-end with a Statistics Canada open-data feed loaded through our generic HTTP connector to Silver.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Auto-Ingestion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Proving that data can be onboarded by configuration rather than bespoke code.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core of the control plane — plus an event-driven "drop a file, it loads itself" intake — validated on real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Establish Reusable Platform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Turning one-off solutions into repeatable building blocks.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registry of connectors, config-as-code onboarding, and a packaged engine mean a new source is *configuration*, not new code.</w:t>
            </w:r>
          </w:p>
        </w:tc>
      </w:tr>
    </w:tbl>
    <w:p/>
    <w:p>
      <w:pPr>
        <w:pStyle w:val="Heading3"/>
      </w:pPr>
      <w:r/>
      <w:r>
        <w:t>Define Fabric Platform Governance</w:t>
      </w:r>
    </w:p>
    <w:p>
      <w:r>
        <w:t>*Who runs the platform and by what process — ownership, capacity, onboarding, and endorsement.*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8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operating model in one picture: a central </w:t>
      </w:r>
      <w:r>
        <w:rPr>
          <w:b/>
        </w:rPr>
        <w:t>Platform Owner</w:t>
      </w:r>
      <w:r>
        <w:t xml:space="preserve"> sets standards and runs capacity;</w:t>
      </w:r>
    </w:p>
    <w:p>
      <w:r>
        <w:rPr>
          <w:b/>
        </w:rPr>
        <w:t>Domain Owners</w:t>
      </w:r>
      <w:r>
        <w:t xml:space="preserve"> own their business area's data, supported by </w:t>
      </w:r>
      <w:r>
        <w:rPr>
          <w:b/>
        </w:rPr>
        <w:t>Stewards</w:t>
      </w:r>
      <w:r>
        <w:t xml:space="preserve"> and **Data Product</w:t>
      </w:r>
    </w:p>
    <w:p>
      <w:r>
        <w:t>Owners**.*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the Fabric platform overall (the "landlord" of capacity, admin settings, standards).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platform-owner role (small central team) accountable for capacity, tenant/admin settings, and the standards in this guide.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Creation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new workspaces get requested, approved, and created consistently.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request→approve step feeding our provisioning script, so every workspace is created to standard (naming, access, capacity) rather than ad hoc.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each workspace and is accountable for its contents.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Each workspace has a named owner (domain-aligned) responsible for access reviews and its data products.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Capacity Governance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capacity is monitored, allocated, and protected from overload.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Monitor via the Capacity Metrics app; set throttling/surge guardrails; a defined path to scale or rebalance workloads.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Administration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concrete duties of the admins (tenant settings, gateways, updates, incidents).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responsibilities matrix (RACI) covering tenant settings, gateway upkeep, capacity, and release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Monitoring and Support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platform health and issues are watched and resolved.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 monitoring + our run/audit logs feed a defined support model (who watches what, escalation path).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Onboarding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repeatable path for a new team, source, or data product to join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checklist that ends in config-as-code entries + our discovery step, so onboarding a source is guided and consistent.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Endorsement and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Fabric's </w:t>
            </w:r>
            <w:r>
              <w:rPr>
                <w:b/>
                <w:sz w:val="18"/>
              </w:rPr>
              <w:t>Promoted / Certified</w:t>
            </w:r>
            <w:r>
              <w:rPr>
                <w:sz w:val="18"/>
              </w:rPr>
              <w:t xml:space="preserve"> labels that signal trustworthy, official items.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Define who can certify, the criteria (owner, quality, documentation), and reserve "Certified" for governed Gold data products.</w:t>
            </w:r>
          </w:p>
        </w:tc>
      </w:tr>
    </w:tbl>
    <w:p/>
    <w:p>
      <w:pPr>
        <w:pStyle w:val="Heading3"/>
      </w:pPr>
      <w:r/>
      <w:r>
        <w:t>Define Fabric Data Governance Framework</w:t>
      </w:r>
    </w:p>
    <w:p>
      <w:r>
        <w:t>*Who owns the data and how its quality, meaning, lineage, and lifecycle are managed.*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Domain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business area owns which data.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Data domains map to business areas with a named domain owner accountable for the data within.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Steward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people who curate meaning, quality, and access for a data area.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steward role per domain — owns definitions, quality rules, and access decisions for their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Treating governed datasets as "products" with an owner and consumers.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Gold outputs are the data products; each has an owner, a documented purpose, and a consumer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Metadata Management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we capture what data exists, its schema, and its meaning.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The platform captures technical metadata (sources, schemas, drift, run history) in config + audit tables; the OneLake catalog + a business glossary standard add business meaning.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Quality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rules that decide whether data is fit to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Declarative quality rules (not-null, ranges, allowed values, expressions) run on the way to Silver, with failing rows quarantined off the clean layer.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Lineage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Being able to trace where data came from and what it feeds.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built-in lineage view across items, plus our audit tables that record every source→bronze→silver→gold run.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Lifecycle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Retention, history, and archival of data over time.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Bronze is an append-only history (audit trail); Silver/Gold hold current + modelled history (slowly-changing dimensions); a retention standard sets how long each is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Sharing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data is shared across teams without copying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Prefer OneLake shortcuts / sharing over copies, governed by access model + certification, so there's one trusted copy.</w:t>
            </w:r>
          </w:p>
        </w:tc>
      </w:tr>
    </w:tbl>
    <w:p/>
    <w:p>
      <w:pPr>
        <w:pStyle w:val="Heading3"/>
      </w:pPr>
      <w:r/>
      <w:r>
        <w:t>Define Fabric Security Framework</w:t>
      </w:r>
    </w:p>
    <w:p>
      <w:r>
        <w:t>*Who can see what — from workspace down to the row and column.*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40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40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*Access narrows as you go down: from broad workspace roles to specific tables, then to individual</w:t>
      </w:r>
    </w:p>
    <w:p>
      <w:r>
        <w:t xml:space="preserve">rows and columns, then masked values — all granted through </w:t>
      </w:r>
      <w:r>
        <w:rPr>
          <w:b/>
        </w:rPr>
        <w:t>Entra groups</w:t>
      </w:r>
      <w:r>
        <w:t xml:space="preserve"> and recorded in</w:t>
      </w:r>
    </w:p>
    <w:p>
      <w:r>
        <w:rPr>
          <w:b/>
        </w:rPr>
        <w:t>audit</w:t>
      </w:r>
      <w:r>
        <w:t>.*</w:t>
      </w:r>
    </w:p>
    <w:p>
      <w:r>
        <w:t>&gt; Because BCPC is a crown corporation, the full **Entra security model, service-principal usage,</w:t>
      </w:r>
    </w:p>
    <w:p>
      <w:r>
        <w:t>&gt; DEV/UAT/PROD segregation, and a who-gets-what access matrix** are set out in the</w:t>
      </w:r>
    </w:p>
    <w:p>
      <w:r>
        <w:t xml:space="preserve">&gt; </w:t>
      </w:r>
      <w:r>
        <w:rPr>
          <w:b/>
        </w:rPr>
        <w:t>[Security, Access &amp; Environment Model](#security-access--environment-model--best-practice-design)</w:t>
      </w:r>
    </w:p>
    <w:p>
      <w:r>
        <w:t>&gt; deep-dive near the end of this guide.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Entra Security Group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Microsoft Entra ID groups (not individuals) to grant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Access is granted to Entra groups; our security config references those groups so membership — not per-person edits — drives access.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workspace roles (Admin / Member / Contributor / Viewer) that set broad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least-privilege role mapping per workspace, assigned to Entra groups and reviewed on a cadence.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Fine-grained access to tables/columns/rows within a lakehouse.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Applied from config as OneLake column-level and row-level security — sensitive columns and restricted rows are enforced consistently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Row-Level Security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Restricting which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 xml:space="preserve"> a user can see (e.g. by region or plan).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 filters declared in config and applied by the framework, so the same rule ships to every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Masking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Hiding or obscuring sensitive values (e.g. SIN, salary).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Dynamic masking at the query layer plus static masking during processing — sensitive columns can be masked, or never land in raw form at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Audit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Recording who did what, and what the pipeline did.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tenant audit logs for user activity, plus our run/quality/drift audit tables for the data pipeline itself.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Compliance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Meeting BCPC's regulatory and privacy obligations.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controls (access, masking, audit, residency) to the applicable obligations; the platform's security + audit features provide the evidence.</w:t>
            </w:r>
          </w:p>
        </w:tc>
      </w:tr>
    </w:tbl>
    <w:p/>
    <w:p>
      <w:pPr>
        <w:pStyle w:val="Heading3"/>
      </w:pPr>
      <w:r/>
      <w:r>
        <w:t>Define Fabric Architecture Standards</w:t>
      </w:r>
    </w:p>
    <w:p>
      <w:r>
        <w:t>*The blueprint everyone builds to — layers, storage choice, and how data is brought in and shaped.*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10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</w:t>
      </w:r>
      <w:r>
        <w:rPr>
          <w:b/>
        </w:rPr>
        <w:t>medallion</w:t>
      </w:r>
      <w:r>
        <w:t xml:space="preserve"> in one line: raw in Bronze, cleaned and governed in Silver, business-ready in</w:t>
      </w:r>
    </w:p>
    <w:p>
      <w:r>
        <w:t>Gold. Each item below is a rule for one part of this flow.*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Bronze / Silver / Gold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medallion pattern: raw → cleaned/conformed → business-ready.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spine of the control plane — Bronze (raw, append-only), Silver (deduped, quality-checked, masked), Gold (modelled star schema).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vs Warehouse Guidance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use a Lakehouse (files+tables, Spark) vs a Warehouse (T-SQL).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Default to Lakehouse for the medallion (what we've built); reach for a Warehouse only where a pure T-SQL surface is required — with the trade-offs documented.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comes in (batch pull, event/file drop, mirroring,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connector registry covers databases, APIs, files (event-driven drop), and gateway-staged on-prem; mirroring is the managed option for near-real-time.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Transformation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is cleaned and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Config-driven cleanse + quality rules into Silver, and SQL-based transforms into a Gold star schema with slowly-changing-dimension history.</w:t>
            </w:r>
          </w:p>
        </w:tc>
      </w:tr>
    </w:tbl>
    <w:p/>
    <w:p>
      <w:pPr>
        <w:pStyle w:val="Heading2"/>
      </w:pPr>
      <w:r/>
      <w:r>
        <w:t>Milestone 2 — Data Integration Foundation</w:t>
      </w:r>
    </w:p>
    <w:p>
      <w:r>
        <w:rPr>
          <w:b/>
        </w:rPr>
        <w:t>Goal:</w:t>
      </w:r>
      <w:r>
        <w:t xml:space="preserve"> prove BCPC can onboard, move, transform, and manage enterprise data in Fabric.</w:t>
      </w:r>
    </w:p>
    <w:p>
      <w:pPr>
        <w:pStyle w:val="Heading3"/>
      </w:pPr>
      <w:r/>
      <w:r>
        <w:t>Implement SQL Managed Instance Integration</w:t>
      </w:r>
    </w:p>
    <w:p>
      <w:r>
        <w:t>*Bring an Azure SQL Managed Instance in via mirroring and prove it stays fresh.*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Mirroring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 up and confirming a mirrored SQL MI database in Fabric.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 validate the setup and confirm the replica lands in OneLake ready for Silver/Gold.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Incremental Data Synchronization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ongoing changes flow through continuously (not just the first load).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streams changes automatically; we verify inserts/updates/deletes propagate and reconcile against expectations.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Operational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run-book for keeping mirroring healthy (start/stop, re-seed, monitor).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documented procedure for monitoring replication state, handling re-seeds, and responding to pauses.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Measure Refresh 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fresh the mirrored data is (latency) and its load impact.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Baseline latency and resource use, with thresholds that tell us when to tune or scale.</w:t>
            </w:r>
          </w:p>
        </w:tc>
      </w:tr>
    </w:tbl>
    <w:p/>
    <w:p>
      <w:pPr>
        <w:pStyle w:val="Heading3"/>
      </w:pPr>
      <w:r/>
      <w:r>
        <w:t>Implement Oracle Integration</w:t>
      </w:r>
    </w:p>
    <w:p>
      <w:r>
        <w:t>*Determine how BCPC's Oracle data comes in — and the trade-offs.*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reach the Oracle database (through the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Oracle connector reaches the source via the gateway; a connection test confirms the path before onboarding.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Supplemental Logging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Oracle change-data-capture needs supplemental logging enabled — an invasive DBA change.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Documented precisely in our analysis (database- and table-level logging), so BCPC's DBAs know exactly what mirroring would require.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LogMiner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Mirroring reads Oracle's redo logs via LogMiner, which has prerequisites and limits.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Captured in the analysis — LogMiner prerequisites, the broad grants required, and the read-write-source constraint.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Limitations and Recommendations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clear statement of what works, what doesn't, and the recommended approach.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the *Bronze vs Mirroring* recommendation: framework-based ingestion by default, mirroring selectively for near-real-time tables.</w:t>
            </w:r>
          </w:p>
        </w:tc>
      </w:tr>
    </w:tbl>
    <w:p/>
    <w:p>
      <w:pPr>
        <w:pStyle w:val="Heading3"/>
      </w:pPr>
      <w:r/>
      <w:r>
        <w:t>Establish Data Ingestion Framework</w:t>
      </w:r>
    </w:p>
    <w:p>
      <w:r>
        <w:t>*Make ingestion standard, reusable, monitored, and resilient.*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*Many source types, </w:t>
      </w:r>
      <w:r>
        <w:rPr>
          <w:b/>
        </w:rPr>
        <w:t>one config-driven connector registry</w:t>
      </w:r>
      <w:r>
        <w:t>, one landing pattern. Mirroring is the</w:t>
      </w:r>
    </w:p>
    <w:p>
      <w:r>
        <w:t>managed option that lands straight in Bronze for near-real-time needs.*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consistent way every source is onboarded and lands.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Every source is a config entry (connection, keys, load type); the framework applies the same landing, history, and naming rules to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Reusable Ingestion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Templates so a new source doesn't start from scratch.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Adding a source is filling in config; adding a *new kind* of source is dropping one connector file — both are templated, not bespoke.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Monitoring and Alerting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Knowing when a load runs, succeeds, or fails.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Every run is logged to audit tables with status and row counts; failures are captured for alerting, wired into the support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Error Handling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Predictable behaviour when something goes wrong.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Failures are isolated per source (one bad file/source doesn't stop the rest), captured with detail, and safe to re-run (idempotent).</w:t>
            </w:r>
          </w:p>
        </w:tc>
      </w:tr>
    </w:tbl>
    <w:p/>
    <w:p>
      <w:pPr>
        <w:pStyle w:val="Heading3"/>
      </w:pPr>
      <w:r/>
      <w:r>
        <w:t>Establish Data Product Standards</w:t>
      </w:r>
    </w:p>
    <w:p>
      <w:r>
        <w:t>*Turn governed datasets into managed, published, certified products.*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*A </w:t>
      </w:r>
      <w:r>
        <w:rPr>
          <w:b/>
        </w:rPr>
        <w:t>data product</w:t>
      </w:r>
      <w:r>
        <w:t xml:space="preserve"> (a governed Gold dataset) moves through a defined lifecycle with an accountable</w:t>
      </w:r>
    </w:p>
    <w:p>
      <w:r>
        <w:t>owner at every stage.*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stages a data product moves through (draft → published → certified → retired).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defined lifecycle with entry/exit criteria at each stage, owned by the data product owner.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"published and ready to consume" means.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publication checklist — owner, documentation, quality passing, access set — before a Gold product is announced.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product has a clear, accountable owner.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Named owner per data product, recorded and visible, responsible for quality and consumer support.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Fabric endorsement to mark trusted, official products.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Only reviewed Gold products earn "Certified"; the process defines reviewer, criteria, and re-review cadence.</w:t>
            </w:r>
          </w:p>
        </w:tc>
      </w:tr>
    </w:tbl>
    <w:p/>
    <w:p>
      <w:pPr>
        <w:pStyle w:val="Heading2"/>
      </w:pPr>
      <w:r/>
      <w:r>
        <w:t>Milestone 3 — Analytics &amp; Reporting Foundation</w:t>
      </w:r>
    </w:p>
    <w:p>
      <w:r>
        <w:rPr>
          <w:b/>
        </w:rPr>
        <w:t>Goal:</w:t>
      </w:r>
      <w:r>
        <w:t xml:space="preserve"> demonstrate end-to-end analytics on Fabric — from modelled data to governed reports.</w:t>
      </w:r>
    </w:p>
    <w:p>
      <w:pPr>
        <w:pStyle w:val="Heading3"/>
      </w:pPr>
      <w:r/>
      <w:r>
        <w:t>From Gold to a governed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178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*Reports read the </w:t>
      </w:r>
      <w:r>
        <w:rPr>
          <w:b/>
        </w:rPr>
        <w:t>Gold</w:t>
      </w:r>
      <w:r>
        <w:t xml:space="preserve"> model live (Direct Lake — no data copy), through a **shared semantic</w:t>
      </w:r>
    </w:p>
    <w:p>
      <w:r>
        <w:t>model</w:t>
      </w:r>
      <w:r>
        <w:rPr>
          <w:b/>
        </w:rPr>
        <w:t xml:space="preserve">, with </w:t>
      </w:r>
      <w:r>
        <w:t>security enforced end-to-end**. The items below govern each hop.*</w:t>
      </w:r>
    </w:p>
    <w:p>
      <w:pPr>
        <w:pStyle w:val="Heading3"/>
      </w:pPr>
      <w:r/>
      <w:r>
        <w:t>Establish Semantic Model Standards</w:t>
      </w:r>
    </w:p>
    <w:p>
      <w:r>
        <w:t>*The shared business model that reports sit on.*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Semantic Model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reusable model (measures, relationships) between Gold data and reports — ideally Direct Lake.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Gold star schema is built to be Direct-Lake-ready; the standard defines shared models over Gold rather than per-report copies.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Naming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Consistent, business-friendly names for tables, measures, and fields.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naming convention (business terms, consistent casing) so models read the same across teams.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Reuse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Sharing one certified model instead of rebuilding per report.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One governed semantic model per subject area, reused by many reports; discourage private duplicates.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Marking the trusted, official semantic models.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Certification criteria for models (owner, built on Gold, documented, quality-backed), aligned with the data-product process.</w:t>
            </w:r>
          </w:p>
        </w:tc>
      </w:tr>
    </w:tbl>
    <w:p/>
    <w:p>
      <w:pPr>
        <w:pStyle w:val="Heading3"/>
      </w:pPr>
      <w:r/>
      <w:r>
        <w:t>Establish Reporting Standards</w:t>
      </w:r>
    </w:p>
    <w:p>
      <w:r>
        <w:t>*How reports are governed, published, and consumed.*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Report Governance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Rules for how reports are built, reviewed, and trusted.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Reports build on certified semantic models, follow design/accessibility guidelines, and are reviewed before wide release.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Publishing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and how reports are released to audiences.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Publish through governed workspaces / apps with defined audiences, versioning, and a clear promotion path.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Consumption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consumers access reports vs where authors build them.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Separate build workspaces from consumption (apps/Viewer access), so consumers get a stable, curated experience.</w:t>
            </w:r>
          </w:p>
        </w:tc>
      </w:tr>
    </w:tbl>
    <w:p/>
    <w:p>
      <w:pPr>
        <w:pStyle w:val="Heading3"/>
      </w:pPr>
      <w:r/>
      <w:r>
        <w:t>Validate Power BI Integration</w:t>
      </w:r>
    </w:p>
    <w:p>
      <w:r>
        <w:t>*Prove the end-to-end path from Gold to a governed, secure report.*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Semantic Model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Power BI reads the Gold model efficiently (Direct Lake, no data copy).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Gold is Direct-Lake-ready; we validate reports read it live without import refresh.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Security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access rules (row/column security) carry through to reports.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Row- and column-level security applied at the lakehouse flows through to the model and report — one rule, enforced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Workspace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the workspace/app layout works for real authoring and consumption.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Validate the build-vs-consume workspace split with a real report and audience before rolling out broadly.</w:t>
            </w:r>
          </w:p>
        </w:tc>
      </w:tr>
    </w:tbl>
    <w:p/>
    <w:p>
      <w:pPr>
        <w:pStyle w:val="Heading2"/>
      </w:pPr>
      <w:r/>
      <w:r>
        <w:t>Platform Topology — Hub &amp; Spoke</w:t>
      </w:r>
    </w:p>
    <w:p>
      <w:r>
        <w:t xml:space="preserve">*The recommended shape for the platform: </w:t>
      </w:r>
      <w:r>
        <w:rPr>
          <w:b/>
        </w:rPr>
        <w:t>load data once into a central hub</w:t>
      </w:r>
      <w:r>
        <w:t>, and let each business</w:t>
      </w:r>
    </w:p>
    <w:p>
      <w:r>
        <w:t xml:space="preserve">area work in its </w:t>
      </w:r>
      <w:r>
        <w:rPr>
          <w:b/>
        </w:rPr>
        <w:t>own "spoke" workspace</w:t>
      </w:r>
      <w:r>
        <w:t xml:space="preserve"> that references the hub's data through </w:t>
      </w:r>
      <w:r>
        <w:rPr>
          <w:b/>
        </w:rPr>
        <w:t>OneLake shortcuts</w:t>
      </w:r>
    </w:p>
    <w:p>
      <w:r>
        <w:t>— no copies. This is Microsoft's enterprise pattern for Fabric (it's how domains and OneLake are meant</w:t>
      </w:r>
    </w:p>
    <w:p>
      <w:r>
        <w:t>to be used), and it fits BCPC well.*</w:t>
      </w:r>
    </w:p>
    <w:p>
      <w:pPr>
        <w:pStyle w:val="Heading3"/>
      </w:pPr>
      <w:r/>
      <w:r>
        <w:t>The pattern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2994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9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Hub</w:t>
      </w:r>
      <w:r>
        <w:t xml:space="preserve"> — a central workspace owned by the platform team. All ingestion and the medallion</w:t>
      </w:r>
    </w:p>
    <w:p>
      <w:r>
        <w:t xml:space="preserve">  (Bronze → Silver → </w:t>
      </w:r>
      <w:r>
        <w:rPr>
          <w:b/>
        </w:rPr>
        <w:t>Gold certified data products</w:t>
      </w:r>
      <w:r>
        <w:t xml:space="preserve">) live here. There is </w:t>
      </w:r>
      <w:r>
        <w:rPr>
          <w:b/>
        </w:rPr>
        <w:t>one physical copy</w:t>
      </w:r>
      <w:r>
        <w:t xml:space="preserve"> of</w:t>
      </w:r>
    </w:p>
    <w:p>
      <w:r>
        <w:t xml:space="preserve">  the data. *This is exactly what our control plane produces.*</w:t>
      </w:r>
    </w:p>
    <w:p>
      <w:pPr>
        <w:pStyle w:val="ListBullet"/>
        <w:ind w:left="360"/>
      </w:pPr>
      <w:r>
        <w:rPr>
          <w:b/>
        </w:rPr>
        <w:t>Spokes</w:t>
      </w:r>
      <w:r>
        <w:t xml:space="preserve"> — a workspace per business area (domain), owned by that domain's team. Each has its **own</w:t>
      </w:r>
    </w:p>
    <w:p>
      <w:r>
        <w:t xml:space="preserve">  lakehouse</w:t>
      </w:r>
      <w:r>
        <w:rPr>
          <w:b/>
        </w:rPr>
        <w:t xml:space="preserve"> that </w:t>
      </w:r>
      <w:r>
        <w:t>shortcuts</w:t>
      </w:r>
      <w:r>
        <w:rPr>
          <w:b/>
        </w:rPr>
        <w:t xml:space="preserve"> to the hub's Gold (a pointer, not a copy), plus its own </w:t>
      </w:r>
      <w:r>
        <w:t>semantic</w:t>
      </w:r>
    </w:p>
    <w:p>
      <w:r>
        <w:t xml:space="preserve">  models and reports</w:t>
      </w:r>
      <w:r>
        <w:rPr>
          <w:b/>
        </w:rPr>
        <w:t xml:space="preserve">, and — where it needs a T-SQL surface or extra marts — its own </w:t>
      </w:r>
      <w:r>
        <w:t>Warehouse**.</w:t>
      </w:r>
    </w:p>
    <w:p>
      <w:pPr>
        <w:pStyle w:val="ListBullet"/>
        <w:ind w:left="360"/>
      </w:pPr>
      <w:r>
        <w:rPr>
          <w:b/>
        </w:rPr>
        <w:t>OneLake shortcuts</w:t>
      </w:r>
      <w:r>
        <w:t xml:space="preserve"> are references, not copies: the data stays in the hub, governed once, and every</w:t>
      </w:r>
    </w:p>
    <w:p>
      <w:r>
        <w:t xml:space="preserve">  spoke sees the same single source of truth.</w:t>
      </w:r>
    </w:p>
    <w:p>
      <w:pPr>
        <w:pStyle w:val="Heading3"/>
      </w:pPr>
      <w:r/>
      <w:r>
        <w:t>Why this is the right design for BCPC</w:t>
      </w:r>
    </w:p>
    <w:p>
      <w:r>
        <w:t xml:space="preserve">1. </w:t>
      </w:r>
      <w:r>
        <w:rPr>
          <w:b/>
        </w:rPr>
        <w:t>One copy, one truth.</w:t>
      </w:r>
      <w:r>
        <w:t xml:space="preserve"> Data is ingested once into the hub; spokes reference it. No copies to</w:t>
      </w:r>
    </w:p>
    <w:p>
      <w:r>
        <w:t xml:space="preserve">   reconcile, consistent numbers everywhere, lower storage.</w:t>
      </w:r>
    </w:p>
    <w:p>
      <w:r>
        <w:t xml:space="preserve">2. </w:t>
      </w:r>
      <w:r>
        <w:rPr>
          <w:b/>
        </w:rPr>
        <w:t>Ownership that matches the org.</w:t>
      </w:r>
      <w:r>
        <w:t xml:space="preserve"> The platform team owns the hub (ingestion, medallion, certified</w:t>
      </w:r>
    </w:p>
    <w:p>
      <w:r>
        <w:t xml:space="preserve">   data); domain teams own their spokes (models, reports, marts). It makes the</w:t>
      </w:r>
    </w:p>
    <w:p>
      <w:r>
        <w:t xml:space="preserve">   </w:t>
      </w:r>
      <w:r>
        <w:rPr>
          <w:b/>
        </w:rPr>
        <w:t>governance operating model physical</w:t>
      </w:r>
      <w:r>
        <w:t xml:space="preserve">, and maps directly onto </w:t>
      </w:r>
      <w:r>
        <w:rPr>
          <w:b/>
        </w:rPr>
        <w:t>Fabric domains</w:t>
      </w:r>
      <w:r>
        <w:t>.</w:t>
      </w:r>
    </w:p>
    <w:p>
      <w:r>
        <w:t xml:space="preserve">3. </w:t>
      </w:r>
      <w:r>
        <w:rPr>
          <w:b/>
        </w:rPr>
        <w:t>Self-service without a bottleneck.</w:t>
      </w:r>
      <w:r>
        <w:t xml:space="preserve"> Domains build freely in their own workspace, on governed and</w:t>
      </w:r>
    </w:p>
    <w:p>
      <w:r>
        <w:t xml:space="preserve">   certified data — the platform team isn't in the path of every report.</w:t>
      </w:r>
    </w:p>
    <w:p>
      <w:r>
        <w:t xml:space="preserve">4. </w:t>
      </w:r>
      <w:r>
        <w:rPr>
          <w:b/>
        </w:rPr>
        <w:t>Security isolation (a crown-corp fit).</w:t>
      </w:r>
      <w:r>
        <w:t xml:space="preserve"> The hub is </w:t>
      </w:r>
      <w:r>
        <w:rPr>
          <w:b/>
        </w:rPr>
        <w:t>write-locked</w:t>
      </w:r>
      <w:r>
        <w:t xml:space="preserve"> to the platform team; each</w:t>
      </w:r>
    </w:p>
    <w:p>
      <w:r>
        <w:t xml:space="preserve">   spoke gets </w:t>
      </w:r>
      <w:r>
        <w:rPr>
          <w:b/>
        </w:rPr>
        <w:t>least-privilege</w:t>
      </w:r>
      <w:r>
        <w:t xml:space="preserve"> access to only the products it needs; **row/column security is</w:t>
      </w:r>
    </w:p>
    <w:p>
      <w:r>
        <w:t xml:space="preserve">   defined once at the hub** (OneLake Security) and enforced for every spoke consumer. Blast radius is</w:t>
      </w:r>
    </w:p>
    <w:p>
      <w:r>
        <w:t xml:space="preserve">   contained per workspace / capacity.</w:t>
      </w:r>
    </w:p>
    <w:p>
      <w:r>
        <w:t xml:space="preserve">5. </w:t>
      </w:r>
      <w:r>
        <w:rPr>
          <w:b/>
        </w:rPr>
        <w:t>Governed consumption.</w:t>
      </w:r>
      <w:r>
        <w:t xml:space="preserve"> Spokes consume </w:t>
      </w:r>
      <w:r>
        <w:rPr>
          <w:b/>
        </w:rPr>
        <w:t>certified</w:t>
      </w:r>
      <w:r>
        <w:t xml:space="preserve"> Gold data products, discovered through</w:t>
      </w:r>
    </w:p>
    <w:p>
      <w:r>
        <w:t xml:space="preserve">   domains / the OneLake catalog — the endorsement model applies.</w:t>
      </w:r>
    </w:p>
    <w:p>
      <w:r>
        <w:t xml:space="preserve">6. </w:t>
      </w:r>
      <w:r>
        <w:rPr>
          <w:b/>
        </w:rPr>
        <w:t>Cost &amp; capacity isolation.</w:t>
      </w:r>
      <w:r>
        <w:t xml:space="preserve"> Spokes run on </w:t>
      </w:r>
      <w:r>
        <w:rPr>
          <w:b/>
        </w:rPr>
        <w:t>their own capacity</w:t>
      </w:r>
      <w:r>
        <w:t>, so query cost is attributed to</w:t>
      </w:r>
    </w:p>
    <w:p>
      <w:r>
        <w:t xml:space="preserve">   the domain that incurs it (chargeback), and a heavy spoke can't starve ingestion.</w:t>
      </w:r>
    </w:p>
    <w:p>
      <w:r>
        <w:t xml:space="preserve">7. </w:t>
      </w:r>
      <w:r>
        <w:rPr>
          <w:b/>
        </w:rPr>
        <w:t>Flexibility where it's needed.</w:t>
      </w:r>
      <w:r>
        <w:t xml:space="preserve"> A spoke needing a T-SQL surface or extra marts creates its **own</w:t>
      </w:r>
    </w:p>
    <w:p>
      <w:r>
        <w:t xml:space="preserve">   Warehouse** over the hub shortcuts — without polluting the hub or forking the Gold.</w:t>
      </w:r>
    </w:p>
    <w:p>
      <w:r>
        <w:t xml:space="preserve">8. </w:t>
      </w:r>
      <w:r>
        <w:rPr>
          <w:b/>
        </w:rPr>
        <w:t>No rework for us.</w:t>
      </w:r>
      <w:r>
        <w:t xml:space="preserve"> Our control plane *is* the hub engine; its **Gold layer is the certified data</w:t>
      </w:r>
    </w:p>
    <w:p>
      <w:r>
        <w:t xml:space="preserve">   products** spokes shortcut to. Hub-and-spoke is the consumption topology on top of what we've built.</w:t>
      </w:r>
    </w:p>
    <w:p>
      <w:pPr>
        <w:pStyle w:val="Heading3"/>
      </w:pPr>
      <w:r/>
      <w:r>
        <w:t>Hub vs Spoke — who owns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Concern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Hub (Platform team)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Spoke (Domain team)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Owns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ingestion, Bronze / Silver, certified 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own lakehouse, warehouse, semantic models, reports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Writes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only the platform service principal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writes to the hub; writes only in its own workspace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Consumes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shortcuts to hub Gold (no copy)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defines RLS / CLS / masking once (OneLake Security)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inherits hub security; sets report / item access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own capacity (chargeback)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Governance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certifies data products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consumes certified products; certifies its own reports/models</w:t>
            </w:r>
          </w:p>
        </w:tc>
      </w:tr>
    </w:tbl>
    <w:p/>
    <w:p>
      <w:pPr>
        <w:pStyle w:val="Heading3"/>
      </w:pPr>
      <w:r/>
      <w:r>
        <w:t>Design considerations to get right</w:t>
      </w:r>
    </w:p>
    <w:p>
      <w:r>
        <w:t>*Honest trade-offs — the pattern is sound, but a few things must be designed deliberately for a</w:t>
      </w:r>
    </w:p>
    <w:p>
      <w:r>
        <w:t>security-sensitive shop.*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Consideration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RLS through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Define row/column security at the </w:t>
            </w:r>
            <w:r>
              <w:rPr>
                <w:b/>
                <w:sz w:val="18"/>
              </w:rPr>
              <w:t>hub</w:t>
            </w:r>
            <w:r>
              <w:rPr>
                <w:sz w:val="18"/>
              </w:rPr>
              <w:t xml:space="preserve"> using </w:t>
            </w:r>
            <w:r>
              <w:rPr>
                <w:b/>
                <w:sz w:val="18"/>
              </w:rPr>
              <w:t>OneLake Security</w:t>
            </w:r>
            <w:r>
              <w:rPr>
                <w:sz w:val="18"/>
              </w:rPr>
              <w:t xml:space="preserve"> (storage-layer). Column security flows to consumers, and hub-side row security is enforced — but RLS propagation through cross-workspace shortcuts has </w:t>
            </w:r>
            <w:r>
              <w:rPr>
                <w:b/>
                <w:sz w:val="18"/>
              </w:rPr>
              <w:t>known gotchas</w:t>
            </w:r>
            <w:r>
              <w:rPr>
                <w:sz w:val="18"/>
              </w:rPr>
              <w:t xml:space="preserve"> if done the older way, so </w:t>
            </w:r>
            <w:r>
              <w:rPr>
                <w:b/>
                <w:sz w:val="18"/>
              </w:rPr>
              <w:t>validate</w:t>
            </w:r>
            <w:r>
              <w:rPr>
                <w:sz w:val="18"/>
              </w:rPr>
              <w:t xml:space="preserve"> that a spoke user sees only permitted rows/columns *before go-live* (see References).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Shortcut, don't re-copy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Standard: spokes </w:t>
            </w:r>
            <w:r>
              <w:rPr>
                <w:b/>
                <w:sz w:val="18"/>
              </w:rPr>
              <w:t>reference</w:t>
            </w:r>
            <w:r>
              <w:rPr>
                <w:sz w:val="18"/>
              </w:rPr>
              <w:t xml:space="preserve"> hub Gold by shortcut and must not re-ingest or copy it — prevents drift and duplicate governance.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Data-product contracts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Hub Gold schema changes ripple to spokes; treat Gold as </w:t>
            </w:r>
            <w:r>
              <w:rPr>
                <w:b/>
                <w:sz w:val="18"/>
              </w:rPr>
              <w:t>versioned contracts</w:t>
            </w:r>
            <w:r>
              <w:rPr>
                <w:sz w:val="18"/>
              </w:rPr>
              <w:t xml:space="preserve"> with change notice to consumers.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Warehouses extend, not re-derive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Spoke warehouses build marts </w:t>
            </w:r>
            <w:r>
              <w:rPr>
                <w:b/>
                <w:sz w:val="18"/>
              </w:rPr>
              <w:t>on top of</w:t>
            </w:r>
            <w:r>
              <w:rPr>
                <w:sz w:val="18"/>
              </w:rPr>
              <w:t xml:space="preserve"> certified Gold; they should not re-implement the Gold transformations (avoids logic drift).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Direct Lake over shortcuts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Semantic models can use </w:t>
            </w:r>
            <w:r>
              <w:rPr>
                <w:b/>
                <w:sz w:val="18"/>
              </w:rPr>
              <w:t>Direct Lake</w:t>
            </w:r>
            <w:r>
              <w:rPr>
                <w:sz w:val="18"/>
              </w:rPr>
              <w:t xml:space="preserve"> on shortcuts to Delta Gold; validate there's no unexpected DirectQuery fallback for your cases.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Capacity planning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Shortcut query compute is billed to the </w:t>
            </w:r>
            <w:r>
              <w:rPr>
                <w:b/>
                <w:sz w:val="18"/>
              </w:rPr>
              <w:t>consuming</w:t>
            </w:r>
            <w:r>
              <w:rPr>
                <w:sz w:val="18"/>
              </w:rPr>
              <w:t xml:space="preserve"> spoke's capacity — good for chargeback, but size each spoke capacity for its workload.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Environment model still applies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Each of </w:t>
            </w:r>
            <w:r>
              <w:rPr>
                <w:b/>
                <w:sz w:val="18"/>
              </w:rPr>
              <w:t>DEV / UAT / PROD</w:t>
            </w:r>
            <w:r>
              <w:rPr>
                <w:sz w:val="18"/>
              </w:rPr>
              <w:t xml:space="preserve"> has its own hub *and* its own spokes; the promotion and access rules in the Security section apply within each environment.</w:t>
            </w:r>
          </w:p>
        </w:tc>
      </w:tr>
    </w:tbl>
    <w:p/>
    <w:p>
      <w:pPr>
        <w:pStyle w:val="Heading3"/>
      </w:pPr>
      <w:r/>
      <w:r>
        <w:t>Promotion &amp; CI/CD across hub and spokes</w:t>
      </w:r>
    </w:p>
    <w:p>
      <w:r>
        <w:t xml:space="preserve">*Two things get promoted, by two owners, on </w:t>
      </w:r>
      <w:r>
        <w:rPr>
          <w:b/>
        </w:rPr>
        <w:t>three tracks</w:t>
      </w:r>
      <w:r>
        <w:t xml:space="preserve"> — plus the template that stamps out the</w:t>
      </w:r>
    </w:p>
    <w:p>
      <w:r>
        <w:t>spoke skeletons.*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786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8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Hub content — platform team, config-as-code.</w:t>
      </w:r>
      <w:r>
        <w:t xml:space="preserve"> Our control plane already promotes the whole</w:t>
      </w:r>
    </w:p>
    <w:p>
      <w:r>
        <w:t xml:space="preserve">  medallion (ingestion, DQ, gold, security) </w:t>
      </w:r>
      <w:r>
        <w:rPr>
          <w:b/>
        </w:rPr>
        <w:t>identically</w:t>
      </w:r>
      <w:r>
        <w:t xml:space="preserve"> DEV → UAT → PROD via GitHub Actions →</w:t>
      </w:r>
    </w:p>
    <w:p>
      <w:r>
        <w:t xml:space="preserve">  </w:t>
      </w:r>
      <w:r>
        <w:rPr>
          <w:rFonts w:ascii="Consolas" w:hAnsi="Consolas"/>
          <w:color w:val="A31F34"/>
        </w:rPr>
        <w:t>cp_bootstrap</w:t>
      </w:r>
      <w:r>
        <w:t xml:space="preserve"> / </w:t>
      </w:r>
      <w:r>
        <w:rPr>
          <w:rFonts w:ascii="Consolas" w:hAnsi="Consolas"/>
          <w:color w:val="A31F34"/>
        </w:rPr>
        <w:t>cp_config</w:t>
      </w:r>
      <w:r>
        <w:t>. The deploy service principal is the only identity that changes PROD.</w:t>
      </w:r>
    </w:p>
    <w:p>
      <w:pPr>
        <w:pStyle w:val="ListBullet"/>
        <w:ind w:left="360"/>
      </w:pPr>
      <w:r>
        <w:rPr>
          <w:b/>
        </w:rPr>
        <w:t>Spoke scaffold — platform team, deployment template.</w:t>
      </w:r>
      <w:r>
        <w:t xml:space="preserve"> The same template provisions each</w:t>
      </w:r>
    </w:p>
    <w:p>
      <w:r>
        <w:t xml:space="preserve">  predefined spoke workspace </w:t>
      </w:r>
      <w:r>
        <w:rPr>
          <w:b/>
        </w:rPr>
        <w:t>per environment</w:t>
      </w:r>
      <w:r>
        <w:t>: the workspace, its lakehouse, its **shortcuts to</w:t>
      </w:r>
    </w:p>
    <w:p>
      <w:r>
        <w:t xml:space="preserve">  that environment's hub Gold**, Entra role assignments, and capacity. One command, all environments.</w:t>
      </w:r>
    </w:p>
    <w:p>
      <w:pPr>
        <w:pStyle w:val="ListBullet"/>
        <w:ind w:left="360"/>
      </w:pPr>
      <w:r>
        <w:rPr>
          <w:b/>
        </w:rPr>
        <w:t>Spoke content — domain teams, Fabric CI/CD.</w:t>
      </w:r>
      <w:r>
        <w:t xml:space="preserve"> Each domain owns its reports, semantic models, and</w:t>
      </w:r>
    </w:p>
    <w:p>
      <w:r>
        <w:t xml:space="preserve">  any warehouse logic, and promotes them DEV-spoke → UAT-spoke → PROD-spoke using **Git integration +</w:t>
      </w:r>
    </w:p>
    <w:p>
      <w:r>
        <w:t xml:space="preserve">  Fabric deployment pipelines** (</w:t>
      </w:r>
      <w:r>
        <w:rPr>
          <w:color w:val="1A5FB4"/>
          <w:u w:val="single"/>
        </w:rPr>
        <w:t>deployment pipelines</w:t>
      </w:r>
      <w:r>
        <w:t xml:space="preserve"> · </w:t>
      </w:r>
      <w:r>
        <w:rPr>
          <w:color w:val="1A5FB4"/>
          <w:u w:val="single"/>
        </w:rPr>
        <w:t>Git</w:t>
      </w:r>
      <w:r>
        <w:t>), with</w:t>
      </w:r>
    </w:p>
    <w:p>
      <w:r>
        <w:t xml:space="preserve">  deployment rules for any per-env bits.</w:t>
      </w:r>
    </w:p>
    <w:p>
      <w:r>
        <w:rPr>
          <w:b/>
        </w:rPr>
        <w:t>The critical shortcut rule.</w:t>
      </w:r>
      <w:r>
        <w:t xml:space="preserve"> Shortcuts are </w:t>
      </w:r>
      <w:r>
        <w:rPr>
          <w:b/>
        </w:rPr>
        <w:t>provisioned per environment by the template</w:t>
      </w:r>
      <w:r>
        <w:t xml:space="preserve"> and point</w:t>
      </w:r>
    </w:p>
    <w:p>
      <w:r>
        <w:t xml:space="preserve">at the </w:t>
      </w:r>
      <w:r>
        <w:rPr>
          <w:b/>
        </w:rPr>
        <w:t>env-local hub</w:t>
      </w:r>
      <w:r>
        <w:t xml:space="preserve"> — they are *not* promoted as content. This guarantees a UAT spoke can only</w:t>
      </w:r>
    </w:p>
    <w:p>
      <w:r>
        <w:t>ever reference UAT data, never PROD. (Promote code/config — never data, never cross-env pointers.)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Spoke element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Provisioned by platform template (per 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Promoted by domain (Fabric CI/CD)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Shortcuts to hub 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yes — </w:t>
            </w:r>
            <w:r>
              <w:rPr>
                <w:b/>
                <w:sz w:val="18"/>
              </w:rPr>
              <w:t>env-local, never cross-env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role 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models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Warehouse (custom logic)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optional empty scaffold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(the logic)</w:t>
            </w:r>
          </w:p>
        </w:tc>
      </w:tr>
    </w:tbl>
    <w:p/>
    <w:p>
      <w:r>
        <w:rPr>
          <w:b/>
        </w:rPr>
        <w:t>Should we stand up spokes in the lower environments?</w:t>
      </w:r>
      <w:r>
        <w:t xml:space="preserve"> Yes:</w:t>
      </w:r>
    </w:p>
    <w:p>
      <w:pPr>
        <w:pStyle w:val="ListBullet"/>
        <w:ind w:left="360"/>
      </w:pPr>
      <w:r>
        <w:rPr>
          <w:b/>
        </w:rPr>
        <w:t>At minimum UAT + PROD</w:t>
      </w:r>
      <w:r>
        <w:t>, so business users validate in UAT (on masked / representative data) before</w:t>
      </w:r>
    </w:p>
    <w:p>
      <w:r>
        <w:t xml:space="preserve">  anything reaches PROD — this is the UAT sign-off in the access matrix.</w:t>
      </w:r>
    </w:p>
    <w:p>
      <w:pPr>
        <w:pStyle w:val="ListBullet"/>
        <w:ind w:left="360"/>
      </w:pPr>
      <w:r>
        <w:rPr>
          <w:b/>
        </w:rPr>
        <w:t>Full DEV + UAT + PROD</w:t>
      </w:r>
      <w:r>
        <w:t xml:space="preserve"> for any domain that actually *builds* content (custom models, warehouses) —</w:t>
      </w:r>
    </w:p>
    <w:p>
      <w:r>
        <w:t xml:space="preserve">  they need a DEV spoke to develop and a promotion path.</w:t>
      </w:r>
    </w:p>
    <w:p>
      <w:pPr>
        <w:pStyle w:val="ListBullet"/>
        <w:ind w:left="360"/>
      </w:pPr>
      <w:r>
        <w:t xml:space="preserve">A </w:t>
      </w:r>
      <w:r>
        <w:rPr>
          <w:b/>
        </w:rPr>
        <w:t>pure-consumer</w:t>
      </w:r>
      <w:r>
        <w:t xml:space="preserve"> domain (reports only, on certified Gold) can start with UAT + PROD and add DEV later.</w:t>
      </w:r>
    </w:p>
    <w:p>
      <w:pPr>
        <w:pStyle w:val="ListBullet"/>
        <w:ind w:left="360"/>
      </w:pPr>
      <w:r>
        <w:t xml:space="preserve">Lower-env spokes shortcut to the </w:t>
      </w:r>
      <w:r>
        <w:rPr>
          <w:b/>
        </w:rPr>
        <w:t>lower-env hub</w:t>
      </w:r>
      <w:r>
        <w:t>, so testing uses safe (masked/synthetic) data —</w:t>
      </w:r>
    </w:p>
    <w:p>
      <w:r>
        <w:t xml:space="preserve">  consistent with the privacy model.</w:t>
      </w:r>
    </w:p>
    <w:p>
      <w:r>
        <w:rPr>
          <w:b/>
        </w:rPr>
        <w:t>Is it easy to add spokes to the deployment template?</w:t>
      </w:r>
      <w:r>
        <w:t xml:space="preserve"> Yes — a natural extension of the template we</w:t>
      </w:r>
    </w:p>
    <w:p>
      <w:r>
        <w:t>already have, not new infrastructure:</w:t>
      </w:r>
    </w:p>
    <w:p>
      <w:pPr>
        <w:pStyle w:val="ListBullet"/>
        <w:ind w:left="360"/>
      </w:pPr>
      <w:r>
        <w:t xml:space="preserve">Add a </w:t>
      </w:r>
      <w:r>
        <w:rPr>
          <w:b/>
        </w:rPr>
        <w:t>`feature_workspaces`</w:t>
      </w:r>
      <w:r>
        <w:t xml:space="preserve"> (spokes) list to the manifest: name, domain, the hub Gold tables to</w:t>
      </w:r>
    </w:p>
    <w:p>
      <w:r>
        <w:t xml:space="preserve">  shortcut, and the Entra groups + capacity to assign.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cp_bootstrap</w:t>
      </w:r>
      <w:r>
        <w:t xml:space="preserve"> loops the list and, per spoke, creates the workspace, its lakehouse, the shortcuts</w:t>
      </w:r>
    </w:p>
    <w:p>
      <w:r>
        <w:t xml:space="preserve">  (env-local hub), the role assignments, and the capacity binding — the **same REST patterns we already</w:t>
      </w:r>
    </w:p>
    <w:p>
      <w:r>
        <w:t xml:space="preserve">  use for the hub**, plus a shortcut-creation helper (</w:t>
      </w:r>
      <w:r>
        <w:rPr>
          <w:color w:val="1A5FB4"/>
          <w:u w:val="single"/>
        </w:rPr>
        <w:t>OneLake shortcuts</w:t>
      </w:r>
      <w:r>
        <w:t>).</w:t>
      </w:r>
    </w:p>
    <w:p>
      <w:pPr>
        <w:pStyle w:val="ListBullet"/>
        <w:ind w:left="360"/>
      </w:pPr>
      <w:r>
        <w:rPr>
          <w:b/>
        </w:rPr>
        <w:t>Idempotent</w:t>
      </w:r>
      <w:r>
        <w:t xml:space="preserve"> and per-environment: </w:t>
      </w:r>
      <w:r>
        <w:rPr>
          <w:rFonts w:ascii="Consolas" w:hAnsi="Consolas"/>
          <w:color w:val="A31F34"/>
        </w:rPr>
        <w:t>deploy DEV|UAT|PROD</w:t>
      </w:r>
      <w:r>
        <w:t xml:space="preserve"> brings up the hub </w:t>
      </w:r>
      <w:r>
        <w:rPr>
          <w:b/>
        </w:rPr>
        <w:t>and</w:t>
      </w:r>
      <w:r>
        <w:t xml:space="preserve"> its full set of</w:t>
      </w:r>
    </w:p>
    <w:p>
      <w:r>
        <w:t xml:space="preserve">  spokes in one command.</w:t>
      </w:r>
    </w:p>
    <w:p>
      <w:pPr>
        <w:pStyle w:val="ListBullet"/>
        <w:ind w:left="360"/>
      </w:pPr>
      <w:r>
        <w:t>New spokes are added through the workspace-creation process (a config entry), keeping the set</w:t>
      </w:r>
    </w:p>
    <w:p>
      <w:r>
        <w:t xml:space="preserve">  governed and consistent.</w:t>
      </w:r>
    </w:p>
    <w:p>
      <w:r>
        <w:t>&gt; *This spoke-provisioning is a recommended enhancement to the current template — which today</w:t>
      </w:r>
    </w:p>
    <w:p>
      <w:r>
        <w:t>&gt; provisions the hub. The workspace / lakehouse / role-assignment APIs are already in use, so it is</w:t>
      </w:r>
    </w:p>
    <w:p>
      <w:r>
        <w:t>&gt; incremental work, not a rebuild.*</w:t>
      </w:r>
    </w:p>
    <w:p>
      <w:r>
        <w:t xml:space="preserve">&gt; </w:t>
      </w:r>
      <w:r>
        <w:rPr>
          <w:b/>
        </w:rPr>
        <w:t>How it maps to the milestones.</w:t>
      </w:r>
      <w:r>
        <w:t xml:space="preserve"> This topology realizes Milestone 1's *Define Workspace Structure*,</w:t>
      </w:r>
    </w:p>
    <w:p>
      <w:r>
        <w:t>&gt; *Domain Alignment Strategy*, *Lakehouse Organization Standards*, and *Data Sharing Standards*; the</w:t>
      </w:r>
    </w:p>
    <w:p>
      <w:r>
        <w:t>&gt; Milestone 3 semantic models and reports are what live in the spokes.</w:t>
      </w:r>
    </w:p>
    <w:p>
      <w:pPr>
        <w:pStyle w:val="Heading3"/>
      </w:pPr>
      <w:r/>
      <w:r>
        <w:t>References</w:t>
      </w:r>
    </w:p>
    <w:p>
      <w:pPr>
        <w:pStyle w:val="ListBullet"/>
        <w:ind w:left="360"/>
      </w:pPr>
      <w:r>
        <w:t xml:space="preserve">OneLake shortcuts — </w:t>
      </w:r>
      <w:r>
        <w:rPr>
          <w:color w:val="1A5FB4"/>
          <w:u w:val="single"/>
        </w:rPr>
        <w:t>overview</w:t>
      </w:r>
      <w:r>
        <w:t xml:space="preserve"> · </w:t>
      </w:r>
      <w:r>
        <w:rPr>
          <w:color w:val="1A5FB4"/>
          <w:u w:val="single"/>
        </w:rPr>
        <w:t>secure &amp; manage shortcuts</w:t>
      </w:r>
    </w:p>
    <w:p>
      <w:pPr>
        <w:pStyle w:val="ListBullet"/>
        <w:ind w:left="360"/>
      </w:pPr>
      <w:r>
        <w:t xml:space="preserve">OneLake Security — </w:t>
      </w:r>
      <w:r>
        <w:rPr>
          <w:color w:val="1A5FB4"/>
          <w:u w:val="single"/>
        </w:rPr>
        <w:t>access-control model</w:t>
      </w:r>
      <w:r>
        <w:t xml:space="preserve"> · </w:t>
      </w:r>
      <w:r>
        <w:rPr>
          <w:color w:val="1A5FB4"/>
          <w:u w:val="single"/>
        </w:rPr>
        <w:t>with shortcuts (RLS/CLS behavior)</w:t>
      </w:r>
    </w:p>
    <w:p>
      <w:pPr>
        <w:pStyle w:val="ListBullet"/>
        <w:ind w:left="360"/>
      </w:pPr>
      <w:r>
        <w:t xml:space="preserve">Fabric domains (data mesh) — </w:t>
      </w:r>
      <w:r>
        <w:rPr>
          <w:color w:val="1A5FB4"/>
          <w:u w:val="single"/>
        </w:rPr>
        <w:t>domains</w:t>
      </w:r>
    </w:p>
    <w:p>
      <w:pPr>
        <w:pStyle w:val="ListBullet"/>
        <w:ind w:left="360"/>
      </w:pPr>
      <w:r>
        <w:t xml:space="preserve">CI/CD — </w:t>
      </w:r>
      <w:r>
        <w:rPr>
          <w:color w:val="1A5FB4"/>
          <w:u w:val="single"/>
        </w:rPr>
        <w:t>deployment pipelines</w:t>
      </w:r>
      <w:r>
        <w:t xml:space="preserve"> · </w:t>
      </w:r>
      <w:r>
        <w:rPr>
          <w:color w:val="1A5FB4"/>
          <w:u w:val="single"/>
        </w:rPr>
        <w:t>Git integration</w:t>
      </w:r>
    </w:p>
    <w:p>
      <w:pPr>
        <w:pStyle w:val="Heading2"/>
      </w:pPr>
      <w:r/>
      <w:r>
        <w:t>Security, Access &amp; Environment Model — best-practice design</w:t>
      </w:r>
    </w:p>
    <w:p>
      <w:r>
        <w:t>*BCPC is a government crown corporation: access control, data privacy, and environment isolation are</w:t>
      </w:r>
    </w:p>
    <w:p>
      <w:r>
        <w:t>first-order requirements, not afterthoughts. This section expands the Security and Governance items</w:t>
      </w:r>
    </w:p>
    <w:p>
      <w:r>
        <w:t>above into a concrete, best-practice design. It is a recommendation to adopt and refine with BCPC's</w:t>
      </w:r>
    </w:p>
    <w:p>
      <w:r>
        <w:t>security team — the platform already provides the enforcement mechanisms it relies on.*</w:t>
      </w:r>
    </w:p>
    <w:p>
      <w:r>
        <w:rPr>
          <w:b/>
        </w:rPr>
        <w:t>Guiding principles</w:t>
      </w:r>
    </w:p>
    <w:p>
      <w:pPr>
        <w:pStyle w:val="ListBullet"/>
        <w:ind w:left="360"/>
      </w:pPr>
      <w:r>
        <w:rPr>
          <w:b/>
        </w:rPr>
        <w:t>Group-based, never individual.</w:t>
      </w:r>
      <w:r>
        <w:t xml:space="preserve"> All access is granted to Microsoft Entra ID security groups; you</w:t>
      </w:r>
    </w:p>
    <w:p>
      <w:r>
        <w:t xml:space="preserve">  change *membership*, never per-person permissions.</w:t>
      </w:r>
    </w:p>
    <w:p>
      <w:pPr>
        <w:pStyle w:val="ListBullet"/>
        <w:ind w:left="360"/>
      </w:pPr>
      <w:r>
        <w:rPr>
          <w:b/>
        </w:rPr>
        <w:t>Least privilege + just-in-time.</w:t>
      </w:r>
      <w:r>
        <w:t xml:space="preserve"> People get the minimum role; privileged and production access is</w:t>
      </w:r>
    </w:p>
    <w:p>
      <w:r>
        <w:t xml:space="preserve">  granted on demand through </w:t>
      </w:r>
      <w:r>
        <w:rPr>
          <w:b/>
        </w:rPr>
        <w:t>PIM</w:t>
      </w:r>
      <w:r>
        <w:t xml:space="preserve"> (Privileged Identity Management) with approval — not standing.</w:t>
      </w:r>
    </w:p>
    <w:p>
      <w:pPr>
        <w:pStyle w:val="ListBullet"/>
        <w:ind w:left="360"/>
      </w:pPr>
      <w:r>
        <w:rPr>
          <w:b/>
        </w:rPr>
        <w:t>People and machines don't mix.</w:t>
      </w:r>
      <w:r>
        <w:t xml:space="preserve"> Humans never authenticate as service principals; automation never</w:t>
      </w:r>
    </w:p>
    <w:p>
      <w:r>
        <w:t xml:space="preserve">  runs as a personal account.</w:t>
      </w:r>
    </w:p>
    <w:p>
      <w:pPr>
        <w:pStyle w:val="ListBullet"/>
        <w:ind w:left="360"/>
      </w:pPr>
      <w:r>
        <w:rPr>
          <w:b/>
        </w:rPr>
        <w:t>Production data stays in production.</w:t>
      </w:r>
      <w:r>
        <w:t xml:space="preserve"> Lower environments use masked, synthetic, or subset data.</w:t>
      </w:r>
    </w:p>
    <w:p>
      <w:pPr>
        <w:pStyle w:val="ListBullet"/>
        <w:ind w:left="360"/>
      </w:pPr>
      <w:r>
        <w:rPr>
          <w:b/>
        </w:rPr>
        <w:t>Change production only by promotion.</w:t>
      </w:r>
      <w:r>
        <w:t xml:space="preserve"> No manual edits in PROD — changes flow through the</w:t>
      </w:r>
    </w:p>
    <w:p>
      <w:r>
        <w:t xml:space="preserve">  deployment pipeline, executed by a service principal.</w:t>
      </w:r>
    </w:p>
    <w:p>
      <w:pPr>
        <w:pStyle w:val="ListBullet"/>
        <w:ind w:left="360"/>
      </w:pPr>
      <w:r>
        <w:rPr>
          <w:b/>
        </w:rPr>
        <w:t>Everything is auditable.</w:t>
      </w:r>
      <w:r>
        <w:t xml:space="preserve"> Access grants, data reads, and pipeline actions are all logged.</w:t>
      </w:r>
    </w:p>
    <w:p>
      <w:pPr>
        <w:pStyle w:val="Heading3"/>
      </w:pPr>
      <w:r/>
      <w:r>
        <w:t>Entra ID security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9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assigned to </w:t>
      </w:r>
      <w:r>
        <w:rPr>
          <w:b/>
        </w:rPr>
        <w:t>groups</w:t>
      </w:r>
      <w:r>
        <w:t>, and the groups are assigned to workspaces and capacities. Adding or</w:t>
      </w:r>
    </w:p>
    <w:p>
      <w:r>
        <w:t>removing a person is a membership change — the permission model never changes.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Group (naming convention)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Members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engineers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access in that environment's workspaces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BCPC-FAB-{ENV}-ReportAuthors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Analysts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 semantic models / reports in that environment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BCPC-FAB-{ENV}-Consumers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Business 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View published reports (via app)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BCPC-DATA-{DOMAIN}-Stewards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stewards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for a data domain (Pensions, Employer, Member)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BCPC-FAB-Platform-Admins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 team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Tenant / capacity administration — </w:t>
            </w:r>
            <w:r>
              <w:rPr>
                <w:b/>
                <w:sz w:val="18"/>
              </w:rPr>
              <w:t>PIM-enabled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BCPC-FAB-Auditors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Security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+ audit-log access across environments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BCPC-FAB-SPN-{ENV}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Container for automation identities; scopes tenant API access</w:t>
            </w:r>
          </w:p>
        </w:tc>
      </w:tr>
    </w:tbl>
    <w:p/>
    <w:p>
      <w:r>
        <w:t xml:space="preserve">*Supporting controls:* </w:t>
      </w:r>
      <w:r>
        <w:rPr>
          <w:b/>
        </w:rPr>
        <w:t>Conditional Access</w:t>
      </w:r>
      <w:r>
        <w:t xml:space="preserve"> (MFA + compliant device + allowed location) on all Fabric</w:t>
      </w:r>
    </w:p>
    <w:p>
      <w:r>
        <w:t xml:space="preserve">access; </w:t>
      </w:r>
      <w:r>
        <w:rPr>
          <w:b/>
        </w:rPr>
        <w:t>PIM</w:t>
      </w:r>
      <w:r>
        <w:t xml:space="preserve"> for admin and production roles; </w:t>
      </w:r>
      <w:r>
        <w:rPr>
          <w:b/>
        </w:rPr>
        <w:t>quarterly access reviews</w:t>
      </w:r>
      <w:r>
        <w:t>; and separately-held</w:t>
      </w:r>
    </w:p>
    <w:p>
      <w:r>
        <w:rPr>
          <w:b/>
        </w:rPr>
        <w:t>break-glass</w:t>
      </w:r>
      <w:r>
        <w:t xml:space="preserve"> admin accounts excluded from Conditional Access for emergencies only.</w:t>
      </w:r>
    </w:p>
    <w:p>
      <w:pPr>
        <w:pStyle w:val="Heading3"/>
      </w:pPr>
      <w:r/>
      <w:r>
        <w:t>Fabric access control — defense in depth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419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Access is controlled at </w:t>
      </w:r>
      <w:r>
        <w:rPr>
          <w:b/>
        </w:rPr>
        <w:t>five layers</w:t>
      </w:r>
      <w:r>
        <w:t>, each narrower than the last. A consumer, for example, passes</w:t>
      </w:r>
    </w:p>
    <w:p>
      <w:r>
        <w:t xml:space="preserve">tenant policy, sits on the capacity, gets </w:t>
      </w:r>
      <w:r>
        <w:rPr>
          <w:b/>
        </w:rPr>
        <w:t>Viewer</w:t>
      </w:r>
      <w:r>
        <w:t xml:space="preserve"> on one workspace, sees only the published report</w:t>
      </w:r>
    </w:p>
    <w:p>
      <w:r>
        <w:t xml:space="preserve">item, and even then only the </w:t>
      </w:r>
      <w:r>
        <w:rPr>
          <w:b/>
        </w:rPr>
        <w:t>rows and columns</w:t>
      </w:r>
      <w:r>
        <w:t xml:space="preserve"> their data-level security allows.</w:t>
      </w:r>
    </w:p>
    <w:p>
      <w:pPr>
        <w:pStyle w:val="Heading3"/>
      </w:pPr>
      <w:r/>
      <w:r>
        <w:t>Service principals (SPNs) and managed identities</w:t>
      </w:r>
    </w:p>
    <w:p>
      <w:r>
        <w:t xml:space="preserve">Automation — deployment, scheduled runs, and source connections — uses </w:t>
      </w:r>
      <w:r>
        <w:rPr>
          <w:b/>
        </w:rPr>
        <w:t>service principals</w:t>
      </w:r>
      <w:r>
        <w:t xml:space="preserve"> (or</w:t>
      </w:r>
    </w:p>
    <w:p>
      <w:r>
        <w:t>managed identities where Fabric supports them), never personal accounts. Best practice:</w:t>
      </w:r>
    </w:p>
    <w:p>
      <w:pPr>
        <w:pStyle w:val="ListBullet"/>
        <w:ind w:left="360"/>
      </w:pPr>
      <w:r>
        <w:rPr>
          <w:b/>
        </w:rPr>
        <w:t>One SPN per environment</w:t>
      </w:r>
      <w:r>
        <w:t>, so a lower-environment credential can never touch production.</w:t>
      </w:r>
    </w:p>
    <w:p>
      <w:pPr>
        <w:pStyle w:val="ListBullet"/>
        <w:ind w:left="360"/>
      </w:pPr>
      <w:r>
        <w:rPr>
          <w:b/>
        </w:rPr>
        <w:t>Least privilege</w:t>
      </w:r>
      <w:r>
        <w:t xml:space="preserve"> — grant the SPN only the workspace role it needs, not tenant admin.</w:t>
      </w:r>
    </w:p>
    <w:p>
      <w:pPr>
        <w:pStyle w:val="ListBullet"/>
        <w:ind w:left="360"/>
      </w:pPr>
      <w:r>
        <w:rPr>
          <w:b/>
        </w:rPr>
        <w:t>Secrets/certificates in Key Vault</w:t>
      </w:r>
      <w:r>
        <w:t xml:space="preserve"> (certificate auth preferred over secrets), </w:t>
      </w:r>
      <w:r>
        <w:rPr>
          <w:b/>
        </w:rPr>
        <w:t>rotated</w:t>
      </w:r>
      <w:r>
        <w:t xml:space="preserve"> on a</w:t>
      </w:r>
    </w:p>
    <w:p>
      <w:r>
        <w:t xml:space="preserve">  schedule, </w:t>
      </w:r>
      <w:r>
        <w:rPr>
          <w:b/>
        </w:rPr>
        <w:t>never in git</w:t>
      </w:r>
      <w:r>
        <w:t>.</w:t>
      </w:r>
    </w:p>
    <w:p>
      <w:pPr>
        <w:pStyle w:val="ListBullet"/>
        <w:ind w:left="360"/>
      </w:pPr>
      <w:r>
        <w:t xml:space="preserve">Enable the tenant setting *"service principals can use Fabric APIs"* **only for the </w:t>
      </w:r>
      <w:r>
        <w:rPr>
          <w:rFonts w:ascii="Consolas" w:hAnsi="Consolas"/>
          <w:color w:val="A31F34"/>
        </w:rPr>
        <w:t>BCPC-FAB-SPN-*</w:t>
      </w:r>
    </w:p>
    <w:p>
      <w:r>
        <w:t xml:space="preserve">  group**, not the whole organization.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65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65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Identity (per environment)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Credential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CI/CD — provision + promote code/config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on that env's workspaces; </w:t>
            </w:r>
            <w:r>
              <w:rPr>
                <w:b/>
                <w:sz w:val="18"/>
              </w:rPr>
              <w:t>the only identity that changes PROD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Cert in that env's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Scheduled pipeline / notebook execution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on that env's 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connectivity via the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on the source database (least privilege)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env Key Vault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identity</w:t>
            </w:r>
            <w:r>
              <w:rPr>
                <w:sz w:val="18"/>
              </w:rPr>
              <w:t xml:space="preserve"> *(preferred where supported)*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Fabric-to-Azure resource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Scoped to the specific resource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to manage</w:t>
            </w:r>
          </w:p>
        </w:tc>
      </w:tr>
    </w:tbl>
    <w:p/>
    <w:p>
      <w:r>
        <w:t>*Our control plane already follows this:* it authenticates as a service principal, reads connection</w:t>
      </w:r>
    </w:p>
    <w:p>
      <w:r>
        <w:t>secrets from Key Vault at run time, and keeps no secrets (or host names) in git.</w:t>
      </w:r>
    </w:p>
    <w:p>
      <w:pPr>
        <w:pStyle w:val="Heading3"/>
      </w:pPr>
      <w:r/>
      <w:r>
        <w:t>Environment segregation — lower vs 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41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Every environment is a hard boundary with its </w:t>
      </w:r>
      <w:r>
        <w:rPr>
          <w:b/>
        </w:rPr>
        <w:t>own</w:t>
      </w:r>
      <w:r>
        <w:t xml:space="preserve"> workspaces, service principals, Key Vault, and</w:t>
      </w:r>
    </w:p>
    <w:p>
      <w:r>
        <w:t xml:space="preserve">source connections. </w:t>
      </w:r>
      <w:r>
        <w:rPr>
          <w:b/>
        </w:rPr>
        <w:t>Production data never flows downward</w:t>
      </w:r>
      <w:r>
        <w:t xml:space="preserve"> — lower environments run on masked or</w:t>
      </w:r>
    </w:p>
    <w:p>
      <w:r>
        <w:t xml:space="preserve">synthetic data. Promotion moves </w:t>
      </w:r>
      <w:r>
        <w:rPr>
          <w:b/>
        </w:rPr>
        <w:t>code and configuration only</w:t>
      </w:r>
      <w:r>
        <w:t>, through the deployment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Isolated per environment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shared acceptable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dedicated (recommended)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Entra groups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Key Vault (secrets)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own — </w:t>
            </w:r>
            <w:r>
              <w:rPr>
                <w:b/>
                <w:sz w:val="18"/>
              </w:rPr>
              <w:t>prod credentials live only here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connection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PROD source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masked / representative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(PII governed)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 change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freely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 standing — promotion only</w:t>
            </w:r>
          </w:p>
        </w:tc>
      </w:tr>
    </w:tbl>
    <w:p/>
    <w:p>
      <w:pPr>
        <w:pStyle w:val="Heading3"/>
      </w:pPr>
      <w:r/>
      <w:r>
        <w:t>Who gets what — access matrix</w:t>
      </w:r>
    </w:p>
    <w:p>
      <w:r>
        <w:t>*The core of an access-control review: which persona gets which level in which environment. Adjust with</w:t>
      </w:r>
    </w:p>
    <w:p>
      <w:r>
        <w:t>BCPC's security team, but the shape — broad in DEV, tight in PROD, promotion-only for changes — should hold.*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Persona / identity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UAT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/ Fabric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(PIM)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Admin — </w:t>
            </w:r>
            <w:r>
              <w:rPr>
                <w:b/>
                <w:sz w:val="18"/>
              </w:rPr>
              <w:t>PIM just-in-time + approval</w:t>
            </w:r>
            <w:r>
              <w:rPr>
                <w:sz w:val="18"/>
              </w:rPr>
              <w:t>; break-glass held separately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Engineer / Developer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/ Member (build)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Viewer, or Contributor for fixes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standing access</w:t>
            </w:r>
            <w:r>
              <w:rPr>
                <w:sz w:val="18"/>
              </w:rPr>
              <w:t xml:space="preserve"> — changes via pipeline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Steward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(governance)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governance tooling (no data edits)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 Author / Analyst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(reporting workspace)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(validate)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Author only in a dedicated authoring workspace; </w:t>
            </w:r>
            <w:r>
              <w:rPr>
                <w:b/>
                <w:sz w:val="18"/>
              </w:rPr>
              <w:t>Viewer</w:t>
            </w:r>
            <w:r>
              <w:rPr>
                <w:sz w:val="18"/>
              </w:rPr>
              <w:t xml:space="preserve"> on curated data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Business Consumer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(UAT sign-off)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Viewer via published app</w:t>
            </w:r>
            <w:r>
              <w:rPr>
                <w:sz w:val="18"/>
              </w:rP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 /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Viewer + audit logs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Deployment SPN</w:t>
            </w:r>
            <w:r>
              <w:rPr>
                <w:sz w:val="18"/>
              </w:rPr>
              <w:t xml:space="preserve"> (CI/CD)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(deploy)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Member (deploy) — </w:t>
            </w:r>
            <w:r>
              <w:rPr>
                <w:b/>
                <w:sz w:val="18"/>
              </w:rPr>
              <w:t>only path to change PROD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Runtime SPN</w:t>
            </w:r>
            <w:r>
              <w:rPr>
                <w:sz w:val="18"/>
              </w:rPr>
              <w:t xml:space="preserve"> (scheduled)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Contributor (run)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 / connection account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DEV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UAT 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read-only on PROD source</w:t>
            </w:r>
          </w:p>
        </w:tc>
      </w:tr>
    </w:tbl>
    <w:p/>
    <w:p>
      <w:pPr>
        <w:pStyle w:val="Heading3"/>
      </w:pPr>
      <w:r/>
      <w:r>
        <w:t>Data security &amp; privacy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PII 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or exclude sensitive columns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(Silver) — sensitive data need never land raw in OneLake.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/ column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OneLake row- and column-level security applied from config, consistently per environment.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Masking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Dynamic masking at query time + static masking during processing. *(Platform.)*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Microsoft Purview Information Protection labels (e.g. *Confidential – PII*) to items; labels travel with the data.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residency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Host the Fabric capacity in a </w:t>
            </w:r>
            <w:r>
              <w:rPr>
                <w:b/>
                <w:sz w:val="18"/>
              </w:rPr>
              <w:t>Canadian region</w:t>
            </w:r>
            <w:r>
              <w:rPr>
                <w:sz w:val="18"/>
              </w:rPr>
              <w:t xml:space="preserve"> (Canada Central / Canada East); confirm no cross-geo processing for a crown corporation.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Encryption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Encrypted at rest by default; evaluate </w:t>
            </w:r>
            <w:r>
              <w:rPr>
                <w:b/>
                <w:sz w:val="18"/>
              </w:rPr>
              <w:t>customer-managed keys</w:t>
            </w:r>
            <w:r>
              <w:rPr>
                <w:sz w:val="18"/>
              </w:rPr>
              <w:t xml:space="preserve"> if BCPC policy requires.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DLP / 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 Purview DLP policies for Fabric; </w:t>
            </w:r>
            <w:r>
              <w:rPr>
                <w:b/>
                <w:sz w:val="18"/>
              </w:rPr>
              <w:t>disable publish-to-web</w:t>
            </w:r>
            <w:r>
              <w:rPr>
                <w:sz w:val="18"/>
              </w:rPr>
              <w:t xml:space="preserve"> and restrict export/download on sensitive workspaces.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PII downstream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Lower environments and shared datasets carry masked/synthetic data only.</w:t>
            </w:r>
          </w:p>
        </w:tc>
      </w:tr>
    </w:tbl>
    <w:p/>
    <w:p>
      <w:pPr>
        <w:pStyle w:val="Heading3"/>
      </w:pPr>
      <w:r/>
      <w:r>
        <w:t>Data connections &amp; network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Best practice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Connectivity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Private only — through the data gateway or private endpoints; </w:t>
            </w:r>
            <w:r>
              <w:rPr>
                <w:b/>
                <w:sz w:val="18"/>
              </w:rPr>
              <w:t>no public internet path</w:t>
            </w:r>
            <w:r>
              <w:rPr>
                <w:sz w:val="18"/>
              </w:rPr>
              <w:t xml:space="preserve"> to sources.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credentials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Least-privilege, </w:t>
            </w:r>
            <w:r>
              <w:rPr>
                <w:b/>
                <w:sz w:val="18"/>
              </w:rPr>
              <w:t>read-only</w:t>
            </w:r>
            <w:r>
              <w:rPr>
                <w:sz w:val="18"/>
              </w:rPr>
              <w:t xml:space="preserve"> source accounts; credentials in Key Vault, never in config or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 can create connections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 connection creation to platform admins / a defined group; </w:t>
            </w:r>
            <w:r>
              <w:rPr>
                <w:b/>
                <w:sz w:val="18"/>
              </w:rPr>
              <w:t>share</w:t>
            </w:r>
            <w:r>
              <w:rPr>
                <w:sz w:val="18"/>
              </w:rPr>
              <w:t xml:space="preserve"> governed connections rather than scattering credentials.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Connection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governed connection per source per environment, reused — not per-user copies.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Gateway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Dedicated gateway VM(s); kept patched; clustered for HA if used for continuous mirroring.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Access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 (MFA + compliant device + allowed location) on all Fabric / Power BI access.</w:t>
            </w:r>
          </w:p>
        </w:tc>
      </w:tr>
    </w:tbl>
    <w:p/>
    <w:p>
      <w:pPr>
        <w:pStyle w:val="Heading3"/>
      </w:pPr>
      <w:r/>
      <w:r>
        <w:t>Tenant-level guardrails (admin checklist)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Tenant setting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Recommended for BCPC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 principals can use Fabric APIs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only for the `BCPC-FAB-SPN-*` group</w:t>
            </w:r>
            <w:r>
              <w:rPr>
                <w:sz w:val="18"/>
              </w:rPr>
              <w:t>, not org-wide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Publish to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/ guest sharing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Disabled</w:t>
            </w:r>
            <w:r>
              <w:rPr>
                <w:sz w:val="18"/>
              </w:rPr>
              <w:t xml:space="preserve"> (or tightly restricted with approval)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Export &amp; download (Excel / CSV / …)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for sensitive workspaces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Sensitivity labels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 and enforced</w:t>
            </w:r>
            <w:r>
              <w:rPr>
                <w:sz w:val="18"/>
              </w:rPr>
              <w:t>; mandatory labelling on new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Enabled</w:t>
            </w:r>
            <w:r>
              <w:rPr>
                <w:sz w:val="18"/>
              </w:rPr>
              <w:t>; logs shipped to BCPC's SIEM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 creation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to the platform team / request process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Capacity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Restricted</w:t>
            </w:r>
            <w:r>
              <w:rPr>
                <w:sz w:val="18"/>
              </w:rPr>
              <w:t xml:space="preserve"> — control which workspaces run on which capacity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Conditional Access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Enforced</w:t>
            </w:r>
            <w:r>
              <w:rPr>
                <w:sz w:val="18"/>
              </w:rPr>
              <w:t xml:space="preserve"> on the Fabric / Power BI service</w:t>
            </w:r>
          </w:p>
        </w:tc>
      </w:tr>
    </w:tbl>
    <w:p/>
    <w:p>
      <w:r>
        <w:t xml:space="preserve">*Companion documents:* the </w:t>
      </w:r>
      <w:r>
        <w:rPr>
          <w:b/>
        </w:rPr>
        <w:t>Bronze vs Mirroring</w:t>
      </w:r>
      <w:r>
        <w:t xml:space="preserve"> analysis (Oracle/SQL-MI ingestion trade-offs and</w:t>
      </w:r>
    </w:p>
    <w:p>
      <w:r>
        <w:t xml:space="preserve">recommendation), the </w:t>
      </w:r>
      <w:r>
        <w:rPr>
          <w:b/>
        </w:rPr>
        <w:t>private-OCI architecture diagrams</w:t>
      </w:r>
      <w:r>
        <w:t xml:space="preserve"> (framework and mirroring paths), and the</w:t>
      </w:r>
    </w:p>
    <w:p>
      <w:r>
        <w:t xml:space="preserve">control-plane </w:t>
      </w:r>
      <w:r>
        <w:rPr>
          <w:b/>
        </w:rPr>
        <w:t>engine + working guides</w:t>
      </w:r>
      <w:r>
        <w:t xml:space="preserve">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