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still </w:t>
      </w:r>
      <w:r>
        <w:rPr>
          <w:b/>
        </w:rPr>
        <w:t>Preview</w:t>
      </w:r>
      <w:r>
        <w:t>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Connectivity (on-prem Oracle)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Connects </w:t>
            </w:r>
            <w:r>
              <w:rPr>
                <w:b/>
                <w:sz w:val="18"/>
              </w:rPr>
              <w:t>only via an on-premises data gateway</w:t>
            </w:r>
            <w:r>
              <w:rPr>
                <w:sz w:val="18"/>
              </w:rPr>
              <w:t xml:space="preserve"> — the existing </w:t>
            </w:r>
            <w:r>
              <w:rPr>
                <w:b/>
                <w:sz w:val="18"/>
              </w:rPr>
              <w:t>VNet gateway (PBI) can't be reused</w:t>
            </w:r>
            <w:r>
              <w:rPr>
                <w:sz w:val="18"/>
              </w:rPr>
              <w:t xml:space="preserve">; stand up a </w:t>
            </w:r>
            <w:r>
              <w:rPr>
                <w:b/>
                <w:sz w:val="18"/>
              </w:rPr>
              <w:t>dedicated</w:t>
            </w:r>
            <w:r>
              <w:rPr>
                <w:sz w:val="18"/>
              </w:rPr>
              <w:t xml:space="preserve"> gateway, HA-sized for </w:t>
            </w:r>
            <w:r>
              <w:rPr>
                <w:b/>
                <w:sz w:val="18"/>
              </w:rPr>
              <w:t>continuous 24/7 CDC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Data-pipeline </w:t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  <w:t xml:space="preserve"> connection binds to </w:t>
            </w:r>
            <w:r>
              <w:rPr>
                <w:b/>
                <w:sz w:val="18"/>
              </w:rPr>
              <w:t>either</w:t>
            </w:r>
            <w:r>
              <w:rPr>
                <w:sz w:val="18"/>
              </w:rPr>
              <w:t xml:space="preserve"> an on-prem </w:t>
            </w:r>
            <w:r>
              <w:rPr>
                <w:b/>
                <w:sz w:val="18"/>
              </w:rPr>
              <w:t>or the existing VNet gateway</w:t>
            </w:r>
            <w:r>
              <w:rPr>
                <w:sz w:val="18"/>
              </w:rPr>
              <w:t xml:space="preserve"> (if Oracle is reachable through that VNet) — </w:t>
            </w:r>
            <w:r>
              <w:rPr>
                <w:b/>
                <w:sz w:val="18"/>
              </w:rPr>
              <w:t>reuse existing infra</w:t>
            </w:r>
            <w:r>
              <w:rPr>
                <w:sz w:val="18"/>
              </w:rPr>
              <w:t xml:space="preserve">; gateway is busy only during </w:t>
            </w:r>
            <w:r>
              <w:rPr>
                <w:b/>
                <w:sz w:val="18"/>
              </w:rPr>
              <w:t>scheduled loads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(DEV→UAT→PROD)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Git/pipelines track the mirror *item* only; connection, </w:t>
            </w:r>
            <w:r>
              <w:rPr>
                <w:b/>
                <w:sz w:val="18"/>
              </w:rPr>
              <w:t>manual start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re-seed</w:t>
            </w:r>
            <w:r>
              <w:rPr>
                <w:sz w:val="18"/>
              </w:rPr>
              <w:t>, and views are per-env manual (see §5)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Whole medallion is config-as-code</w:t>
            </w:r>
            <w:r>
              <w:rPr>
                <w:sz w:val="18"/>
              </w:rPr>
              <w:t xml:space="preserve"> — sources+DQ+gold+security promote together; connection = a KV secret per env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r>
        <w:t xml:space="preserve">&gt; </w:t>
      </w:r>
      <w:r>
        <w:rPr>
          <w:b/>
        </w:rPr>
        <w:t>Gateway note (BCPC-specific).</w:t>
      </w:r>
      <w:r>
        <w:t xml:space="preserve"> We already run a </w:t>
      </w:r>
      <w:r>
        <w:rPr>
          <w:b/>
        </w:rPr>
        <w:t>VNet data gateway</w:t>
      </w:r>
      <w:r>
        <w:t xml:space="preserve"> for some Power BI</w:t>
      </w:r>
    </w:p>
    <w:p>
      <w:r>
        <w:t xml:space="preserve">&gt; reports. That gateway </w:t>
      </w:r>
      <w:r>
        <w:rPr>
          <w:b/>
        </w:rPr>
        <w:t>cannot serve Fabric Mirroring</w:t>
      </w:r>
      <w:r>
        <w:t xml:space="preserve"> — mirroring reaches a private/on-prem</w:t>
      </w:r>
    </w:p>
    <w:p>
      <w:r>
        <w:t xml:space="preserve">&gt; source through the </w:t>
      </w:r>
      <w:r>
        <w:rPr>
          <w:b/>
        </w:rPr>
        <w:t>on-premises data gateway</w:t>
      </w:r>
      <w:r>
        <w:t xml:space="preserve"> only, so mirroring Oracle means provisioning a</w:t>
      </w:r>
    </w:p>
    <w:p>
      <w:r>
        <w:t xml:space="preserve">&gt; </w:t>
      </w:r>
      <w:r>
        <w:rPr>
          <w:b/>
        </w:rPr>
        <w:t>new, dedicated</w:t>
      </w:r>
      <w:r>
        <w:t xml:space="preserve"> gateway (installed + patched + clustered for HA, running </w:t>
      </w:r>
      <w:r>
        <w:rPr>
          <w:b/>
        </w:rPr>
        <w:t>continuously</w:t>
      </w:r>
      <w:r>
        <w:t xml:space="preserve"> for</w:t>
      </w:r>
    </w:p>
    <w:p>
      <w:r>
        <w:t xml:space="preserve">&gt; always-on CDC). Our framework's on-prem path is a Data-pipeline </w:t>
      </w:r>
      <w:r>
        <w:rPr>
          <w:b/>
        </w:rPr>
        <w:t>Copy</w:t>
      </w:r>
      <w:r>
        <w:t>, whose connection can run</w:t>
      </w:r>
    </w:p>
    <w:p>
      <w:r>
        <w:t xml:space="preserve">&gt; through </w:t>
      </w:r>
      <w:r>
        <w:rPr>
          <w:b/>
        </w:rPr>
        <w:t>either</w:t>
      </w:r>
      <w:r>
        <w:t xml:space="preserve"> an on-prem gateway </w:t>
      </w:r>
      <w:r>
        <w:rPr>
          <w:b/>
        </w:rPr>
        <w:t>or the existing VNet gateway</w:t>
      </w:r>
      <w:r>
        <w:t xml:space="preserve"> (assuming the Oracle host is</w:t>
      </w:r>
    </w:p>
    <w:p>
      <w:r>
        <w:t xml:space="preserve">&gt; reachable through that VNet) — so it can </w:t>
      </w:r>
      <w:r>
        <w:rPr>
          <w:b/>
        </w:rPr>
        <w:t>reuse infrastructure we already operate</w:t>
      </w:r>
      <w:r>
        <w:t>, and only</w:t>
      </w:r>
    </w:p>
    <w:p>
      <w:r>
        <w:t>&gt; during scheduled load windows. *(Fabric gateway support for mirroring is still evolving — confirm</w:t>
      </w:r>
    </w:p>
    <w:p>
      <w:r>
        <w:t>&gt; against current docs for the Oracle connector and our exact network topology before sizing.)*</w:t>
      </w:r>
    </w:p>
    <w:p>
      <w:pPr>
        <w:pStyle w:val="Heading2"/>
      </w:pPr>
      <w:r/>
      <w:r>
        <w:t>3. Scenario by scenario — what happens when the source changes</w:t>
      </w:r>
    </w:p>
    <w:p>
      <w:r>
        <w:t>Follow a single row through both paths. *Mirrored bronze* = the live replica; *Framework* = our</w:t>
      </w:r>
    </w:p>
    <w:p>
      <w:r>
        <w:t>connector → bronze → silver → gold.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 event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Mirrored bronze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inserted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Appears in the mirror in ~seconds (CDC)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Picked up on the next run (watermark: when its change-date advances; else next full load); silver keys it, gold adds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updated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Mirror row updated in place — shows the </w:t>
            </w:r>
            <w:r>
              <w:rPr>
                <w:b/>
                <w:sz w:val="18"/>
              </w:rPr>
              <w:t>new</w:t>
            </w:r>
            <w:r>
              <w:rPr>
                <w:sz w:val="18"/>
              </w:rPr>
              <w:t xml:space="preserve"> value; the old value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(mirror = current state)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Incremental appends the new version to bronze (a raw change log); silver keeps latest by key; </w:t>
            </w:r>
            <w:r>
              <w:rPr>
                <w:b/>
                <w:sz w:val="18"/>
              </w:rPr>
              <w:t>gold SCD2 preserves old *and* new</w:t>
            </w:r>
            <w:r>
              <w:rPr>
                <w:sz w:val="18"/>
              </w:rPr>
              <w:t xml:space="preserve"> — you keep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deleted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</w:t>
            </w:r>
            <w:r>
              <w:rPr>
                <w:b/>
                <w:sz w:val="18"/>
              </w:rPr>
              <w:t>silently removes</w:t>
            </w:r>
            <w:r>
              <w:rPr>
                <w:sz w:val="18"/>
              </w:rPr>
              <w:t xml:space="preserve"> the row — the mirror matches the source, but the deleted record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from the current table (recoverable only via Delta time-travel: retention-limited, replication-versioned — awkward for audit)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Better for audit, and on by default:</w:t>
            </w:r>
            <w:r>
              <w:rPr>
                <w:sz w:val="18"/>
              </w:rPr>
              <w:t xml:space="preserve"> bronze is </w:t>
            </w:r>
            <w:r>
              <w:rPr>
                <w:b/>
                <w:sz w:val="18"/>
              </w:rPr>
              <w:t>append-only</w:t>
            </w:r>
            <w:r>
              <w:rPr>
                <w:sz w:val="18"/>
              </w:rPr>
              <w:t xml:space="preserve"> (every snapshot kept — "present in batch N, gone in N+1" is a plain query); on a </w:t>
            </w:r>
            <w:r>
              <w:rPr>
                <w:b/>
                <w:sz w:val="18"/>
              </w:rPr>
              <w:t>keyed full load</w:t>
            </w:r>
            <w:r>
              <w:rPr>
                <w:sz w:val="18"/>
              </w:rPr>
              <w:t xml:space="preserve"> silver auto-stamps </w:t>
            </w:r>
            <w:r>
              <w:rPr>
                <w:rFonts w:ascii="Consolas" w:hAnsi="Consolas"/>
                <w:color w:val="A31F34"/>
                <w:sz w:val="18"/>
              </w:rPr>
              <w:t>_is_deleted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_deleted_at</w:t>
            </w:r>
            <w:r>
              <w:rPr>
                <w:sz w:val="18"/>
              </w:rPr>
              <w:t xml:space="preserve"> (latest values retained; a reappearing key flips back). Only exclusion: </w:t>
            </w:r>
            <w:r>
              <w:rPr>
                <w:rFonts w:ascii="Consolas" w:hAnsi="Consolas"/>
                <w:color w:val="A31F34"/>
                <w:sz w:val="18"/>
              </w:rPr>
              <w:t>incremental</w:t>
            </w:r>
            <w:r>
              <w:rPr>
                <w:sz w:val="18"/>
              </w:rPr>
              <w:t xml:space="preserve"> loads (a delta can't reveal a delete) — keep such a table on </w:t>
            </w:r>
            <w:r>
              <w:rPr>
                <w:rFonts w:ascii="Consolas" w:hAnsi="Consolas"/>
                <w:color w:val="A31F34"/>
                <w:sz w:val="18"/>
              </w:rPr>
              <w:t>full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load picks it up; silver </w:t>
            </w:r>
            <w:r>
              <w:rPr>
                <w:b/>
                <w:sz w:val="18"/>
              </w:rPr>
              <w:t>logs a `COLUMN_ADDED` drift event</w:t>
            </w:r>
            <w:r>
              <w:rPr>
                <w:sz w:val="18"/>
              </w:rPr>
              <w:t xml:space="preserve">; flows unless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excludes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dropped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Absent next load; silver </w:t>
            </w:r>
            <w:r>
              <w:rPr>
                <w:b/>
                <w:sz w:val="18"/>
              </w:rPr>
              <w:t>logs `COLUMN_REMOVED`</w:t>
            </w:r>
            <w:r>
              <w:rPr>
                <w:sz w:val="18"/>
              </w:rPr>
              <w:t xml:space="preserve"> (warning)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renamed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Shows as drop+add (drift logged); a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rename normalizes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*type* changed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supported</w:t>
            </w:r>
            <w:r>
              <w:rPr>
                <w:sz w:val="18"/>
              </w:rPr>
              <w:t xml:space="preserve"> — mirroring can fail that 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Schema-on-read tolerates it (lands as-is); a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 xml:space="preserve"> cast fixes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New table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Reconfigure the mirror to include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Discovery registers it </w:t>
            </w:r>
            <w:r>
              <w:rPr>
                <w:rFonts w:ascii="Consolas" w:hAnsi="Consolas"/>
                <w:color w:val="A31F34"/>
                <w:sz w:val="18"/>
              </w:rPr>
              <w:t>is_active=0</w:t>
            </w:r>
            <w:r>
              <w:rPr>
                <w:sz w:val="18"/>
              </w:rPr>
              <w:t>; review + activate (config-as-code)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Bulk truncate + 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CDC reflects it, but large re-seeds spike gateway memory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load reflects it; incremental picks up rows whose change-date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down / logs purged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pauses; catches up if archive logs retained (~24h) — else a </w:t>
            </w:r>
            <w:r>
              <w:rPr>
                <w:b/>
                <w:sz w:val="18"/>
              </w:rPr>
              <w:t>full re-seed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 fails and retries; next run resumes from the watermark (source is truth, we re-read) — no re-seed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Bad / sensitive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Replicated as-is (bad rows *and* PII land raw in OneLake)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DQ </w:t>
            </w:r>
            <w:r>
              <w:rPr>
                <w:b/>
                <w:sz w:val="18"/>
              </w:rPr>
              <w:t>quarantines</w:t>
            </w:r>
            <w:r>
              <w:rPr>
                <w:sz w:val="18"/>
              </w:rPr>
              <w:t xml:space="preserve"> bad rows before gold;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handle PII </w:t>
            </w:r>
            <w:r>
              <w:rPr>
                <w:b/>
                <w:sz w:val="18"/>
              </w:rPr>
              <w:t>before it lands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Point-in-time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state only (Delta time-travel = replication versions, retention-limited)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Bronze append = raw extraction history; gold SCD2 = business history; audit tables = full lineage</w:t>
            </w:r>
          </w:p>
        </w:tc>
      </w:tr>
    </w:tbl>
    <w:p/>
    <w:p>
      <w:r>
        <w:rPr>
          <w:b/>
        </w:rPr>
        <w:t>Two scenarios deserve a callout:</w:t>
      </w:r>
    </w:p>
    <w:p>
      <w:pPr>
        <w:pStyle w:val="ListBullet"/>
        <w:ind w:left="360"/>
      </w:pPr>
      <w:r>
        <w:rPr>
          <w:b/>
        </w:rPr>
        <w:t>Updates &amp; history — framework wins for auditability.</w:t>
      </w:r>
      <w:r>
        <w:t xml:space="preserve"> A mirror always shows *now*: if a</w:t>
      </w:r>
    </w:p>
    <w:p>
      <w:r>
        <w:t xml:space="preserve">  member's status changes, it overwrites the old value. Only our </w:t>
      </w:r>
      <w:r>
        <w:rPr>
          <w:b/>
        </w:rPr>
        <w:t>SCD2 gold</w:t>
      </w:r>
      <w:r>
        <w:t xml:space="preserve"> keeps the</w:t>
      </w:r>
    </w:p>
    <w:p>
      <w:r>
        <w:t xml:space="preserve">  before-and-after with effective dates — which a pension corporation usually needs for audit.</w:t>
      </w:r>
    </w:p>
    <w:p>
      <w:pPr>
        <w:pStyle w:val="ListBullet"/>
        <w:ind w:left="360"/>
      </w:pPr>
      <w:r>
        <w:rPr>
          <w:b/>
        </w:rPr>
        <w:t>Deletes — a design choice, and for *audit* the framework can be the stronger one.</w:t>
      </w:r>
      <w:r>
        <w:t xml:space="preserve"> Mirroring</w:t>
      </w:r>
    </w:p>
    <w:p>
      <w:r>
        <w:t xml:space="preserve">  applies deletes automatically, but that cuts both ways: the record </w:t>
      </w:r>
      <w:r>
        <w:rPr>
          <w:b/>
        </w:rPr>
        <w:t>silently disappears</w:t>
      </w:r>
      <w:r>
        <w:t xml:space="preserve"> from</w:t>
      </w:r>
    </w:p>
    <w:p>
      <w:r>
        <w:t xml:space="preserve">  the current table and is recoverable only via Delta time-travel — limited retention, and those</w:t>
      </w:r>
    </w:p>
    <w:p>
      <w:r>
        <w:t xml:space="preserve">  versions are replication commits, not business events, so you can't cleanly answer "what was</w:t>
      </w:r>
    </w:p>
    <w:p>
      <w:r>
        <w:t xml:space="preserve">  deleted, and when." Run as </w:t>
      </w:r>
      <w:r>
        <w:rPr>
          <w:b/>
        </w:rPr>
        <w:t>append-snapshot bronze</w:t>
      </w:r>
      <w:r>
        <w:t>, our framework keeps every extracted</w:t>
      </w:r>
    </w:p>
    <w:p>
      <w:r>
        <w:t xml:space="preserve">  version, so "present in batch N, gone in N+1" is a plain query; a </w:t>
      </w:r>
      <w:r>
        <w:rPr>
          <w:b/>
        </w:rPr>
        <w:t>key reconciliation</w:t>
      </w:r>
      <w:r>
        <w:t xml:space="preserve"> (diff the</w:t>
      </w:r>
    </w:p>
    <w:p>
      <w:r>
        <w:t xml:space="preserve">  latest snapshot's keys against the model) then stamps a </w:t>
      </w:r>
      <w:r>
        <w:rPr>
          <w:b/>
        </w:rPr>
        <w:t>soft-delete</w:t>
      </w:r>
      <w:r>
        <w:t xml:space="preserve"> (</w:t>
      </w:r>
      <w:r>
        <w:rPr>
          <w:rFonts w:ascii="Consolas" w:hAnsi="Consolas"/>
          <w:color w:val="A31F34"/>
        </w:rPr>
        <w:t>_is_deleted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A31F34"/>
        </w:rPr>
        <w:t>_deleted_at</w:t>
      </w:r>
      <w:r>
        <w:t>) through silver and gold, giving downstream logic *explicit* delete awareness. For a</w:t>
      </w:r>
    </w:p>
    <w:p>
      <w:r>
        <w:t xml:space="preserve">  pension corporation that must audit removals, that's arguably </w:t>
      </w:r>
      <w:r>
        <w:rPr>
          <w:b/>
        </w:rPr>
        <w:t>better</w:t>
      </w:r>
      <w:r>
        <w:t xml:space="preserve"> than a mirror that just</w:t>
      </w:r>
    </w:p>
    <w:p>
      <w:r>
        <w:t xml:space="preserve">  makes the row vanish. The honest caveat: this is a </w:t>
      </w:r>
      <w:r>
        <w:rPr>
          <w:b/>
        </w:rPr>
        <w:t>deliberate pattern</w:t>
      </w:r>
      <w:r>
        <w:t xml:space="preserve"> — the default</w:t>
      </w:r>
    </w:p>
    <w:p>
      <w:r>
        <w:t xml:space="preserve">  watermark/overwrite load won't flag deletes on its own — and full snapshots cost storage, so</w:t>
      </w:r>
    </w:p>
    <w:p>
      <w:r>
        <w:t xml:space="preserve">  choose it per table. This is </w:t>
      </w:r>
      <w:r>
        <w:rPr>
          <w:b/>
        </w:rPr>
        <w:t>implemented and on by default</w:t>
      </w:r>
      <w:r>
        <w:t>: bronze is append-only, and any</w:t>
      </w:r>
    </w:p>
    <w:p>
      <w:r>
        <w:t xml:space="preserve">  </w:t>
      </w:r>
      <w:r>
        <w:rPr>
          <w:b/>
        </w:rPr>
        <w:t>keyed full load</w:t>
      </w:r>
      <w:r>
        <w:t xml:space="preserve"> auto-runs the reconciliation (ported from the MXData accelerator's</w:t>
      </w:r>
    </w:p>
    <w:p>
      <w:r>
        <w:t xml:space="preserve">  </w:t>
      </w:r>
      <w:r>
        <w:rPr>
          <w:rFonts w:ascii="Consolas" w:hAnsi="Consolas"/>
          <w:color w:val="A31F34"/>
        </w:rPr>
        <w:t>_is_deleted</w:t>
      </w:r>
      <w:r>
        <w:t xml:space="preserve"> handling) — set </w:t>
      </w:r>
      <w:r>
        <w:rPr>
          <w:rFonts w:ascii="Consolas" w:hAnsi="Consolas"/>
          <w:color w:val="A31F34"/>
        </w:rPr>
        <w:t>delete_detection="off"</w:t>
      </w:r>
      <w:r>
        <w:t xml:space="preserve"> to disable, and note it can't apply to</w:t>
      </w:r>
    </w:p>
    <w:p>
      <w:r>
        <w:t xml:space="preserve">  </w:t>
      </w:r>
      <w:r>
        <w:rPr>
          <w:rFonts w:ascii="Consolas" w:hAnsi="Consolas"/>
          <w:color w:val="A31F34"/>
        </w:rPr>
        <w:t>incremental</w:t>
      </w:r>
      <w:r>
        <w:t xml:space="preserve"> loads. Verified end-to-end: a 10-row snapshot, then a reload with one row removed +</w:t>
      </w:r>
    </w:p>
    <w:p>
      <w:r>
        <w:t xml:space="preserve">  two updated, yields 10 silver rows — the removed key flagged </w:t>
      </w:r>
      <w:r>
        <w:rPr>
          <w:rFonts w:ascii="Consolas" w:hAnsi="Consolas"/>
          <w:color w:val="A31F34"/>
        </w:rPr>
        <w:t>_is_deleted</w:t>
      </w:r>
      <w:r>
        <w:t xml:space="preserve"> with its last-known</w:t>
      </w:r>
    </w:p>
    <w:p>
      <w:r>
        <w:t xml:space="preserve">  values, the rest carrying the latest updates; bronze retains both snapshots (19 rows).</w:t>
      </w:r>
    </w:p>
    <w:p>
      <w:pPr>
        <w:pStyle w:val="Heading2"/>
      </w:pPr>
      <w:r/>
      <w:r>
        <w:t>4.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rPr>
          <w:b/>
        </w:rPr>
        <w:t>Still Preview</w:t>
      </w:r>
      <w:r>
        <w:t xml:space="preserve"> for Oracle — not yet a fit for a production system of record.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rPr>
          <w:b/>
        </w:rPr>
        <w:t>New dedicated gateway</w:t>
      </w:r>
      <w:r>
        <w:t xml:space="preserve"> — mirroring uses the on-premises data gateway only; our existing **VNet</w:t>
      </w:r>
    </w:p>
    <w:p>
      <w:r>
        <w:t xml:space="preserve">  gateway can't be reused**, so it's fresh infra to stand up, patch, and HA-cluster for 24/7 CDC.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Reuses existing connectivity</w:t>
      </w:r>
      <w:r>
        <w:t xml:space="preserve"> — the on-prem Copy can run through our current </w:t>
      </w:r>
      <w:r>
        <w:rPr>
          <w:b/>
        </w:rPr>
        <w:t>VNet gateway</w:t>
      </w:r>
    </w:p>
    <w:p>
      <w:r>
        <w:t xml:space="preserve">  (no new dedicated gateway to provision/HA), and only during scheduled loads, not 24/7.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5. Promotion across environments (DEV → UAT → PROD)</w:t>
      </w:r>
    </w:p>
    <w:p>
      <w:r>
        <w:t>This is where the two diverge most for a governed shop — the user explicitly asked, so it's worth</w:t>
      </w:r>
    </w:p>
    <w:p>
      <w:r>
        <w:t>its own section.</w:t>
      </w:r>
    </w:p>
    <w:p>
      <w:r>
        <w:rPr>
          <w:b/>
        </w:rPr>
        <w:t>Our framework — one config-as-code unit.</w:t>
      </w:r>
      <w:r>
        <w:t xml:space="preserve"> The *entire* medallion — sources, subset/</w:t>
      </w:r>
      <w:r>
        <w:rPr>
          <w:rFonts w:ascii="Consolas" w:hAnsi="Consolas"/>
          <w:color w:val="A31F34"/>
        </w:rPr>
        <w:t>select</w:t>
      </w:r>
    </w:p>
    <w:p>
      <w:r>
        <w:t xml:space="preserve">rules, </w:t>
      </w:r>
      <w:r>
        <w:rPr>
          <w:rFonts w:ascii="Consolas" w:hAnsi="Consolas"/>
          <w:color w:val="A31F34"/>
        </w:rPr>
        <w:t>cleanse_rule</w:t>
      </w:r>
      <w:r>
        <w:t xml:space="preserve">, </w:t>
      </w:r>
      <w:r>
        <w:rPr>
          <w:rFonts w:ascii="Consolas" w:hAnsi="Consolas"/>
          <w:color w:val="A31F34"/>
        </w:rPr>
        <w:t>dq_rule</w:t>
      </w:r>
      <w:r>
        <w:t xml:space="preserve">, the gold </w:t>
      </w:r>
      <w:r>
        <w:rPr>
          <w:rFonts w:ascii="Consolas" w:hAnsi="Consolas"/>
          <w:color w:val="A31F34"/>
        </w:rPr>
        <w:t>model</w:t>
      </w:r>
      <w:r>
        <w:t>/</w:t>
      </w:r>
      <w:r>
        <w:rPr>
          <w:rFonts w:ascii="Consolas" w:hAnsi="Consolas"/>
          <w:color w:val="A31F34"/>
        </w:rPr>
        <w:t>gold_object</w:t>
      </w:r>
      <w:r>
        <w:t xml:space="preserve">, and </w:t>
      </w:r>
      <w:r>
        <w:rPr>
          <w:rFonts w:ascii="Consolas" w:hAnsi="Consolas"/>
          <w:color w:val="A31F34"/>
        </w:rPr>
        <w:t>security_policy</w:t>
      </w:r>
      <w:r>
        <w:t xml:space="preserve"> — lives in</w:t>
      </w:r>
    </w:p>
    <w:p>
      <w:r>
        <w:rPr>
          <w:rFonts w:ascii="Consolas" w:hAnsi="Consolas"/>
          <w:color w:val="A31F34"/>
        </w:rPr>
        <w:t>config_db</w:t>
      </w:r>
      <w:r>
        <w:t xml:space="preserve"> and promotes as YAML (</w:t>
      </w:r>
      <w:r>
        <w:rPr>
          <w:rFonts w:ascii="Consolas" w:hAnsi="Consolas"/>
          <w:color w:val="A31F34"/>
        </w:rPr>
        <w:t>cp_config</w:t>
      </w:r>
      <w:r>
        <w:t>) alongside the bundled engine, which deploys</w:t>
      </w:r>
    </w:p>
    <w:p>
      <w:r>
        <w:rPr>
          <w:b/>
        </w:rPr>
        <w:t>identically</w:t>
      </w:r>
      <w:r>
        <w:t xml:space="preserve"> to every environment. Connections resolve from a Key Vault </w:t>
      </w:r>
      <w:r>
        <w:rPr>
          <w:rFonts w:ascii="Consolas" w:hAnsi="Consolas"/>
          <w:color w:val="A31F34"/>
        </w:rPr>
        <w:t>secret_name</w:t>
      </w:r>
      <w:r>
        <w:t xml:space="preserve"> (one secret</w:t>
      </w:r>
    </w:p>
    <w:p>
      <w:r>
        <w:t>per env), so pointing DEV / UAT / PROD at their own Oracle is a per-env *secret*, not a code change.</w:t>
      </w:r>
    </w:p>
    <w:p>
      <w:r>
        <w:t xml:space="preserve">Promotion is </w:t>
      </w:r>
      <w:r>
        <w:rPr>
          <w:rFonts w:ascii="Consolas" w:hAnsi="Consolas"/>
          <w:color w:val="A31F34"/>
        </w:rPr>
        <w:t>git → cp_bootstrap/cp_config</w:t>
      </w:r>
      <w:r>
        <w:t xml:space="preserve"> per environment: **ingestion, transformation, DQ, gold,</w:t>
      </w:r>
    </w:p>
    <w:p>
      <w:r>
        <w:t>and security move together**, versioned and diffable, with no portal clicks.</w:t>
      </w:r>
    </w:p>
    <w:p>
      <w:r>
        <w:rPr>
          <w:b/>
        </w:rPr>
        <w:t>Mirroring — the replica config promotes; the rest is per-env manual.</w:t>
      </w:r>
      <w:r>
        <w:t xml:space="preserve"> Mirrored databases *do*</w:t>
      </w:r>
    </w:p>
    <w:p>
      <w:r>
        <w:t>support Git integration and deployment pipelines now — but with real seams that add up per stage:</w:t>
      </w:r>
    </w:p>
    <w:p>
      <w:pPr>
        <w:pStyle w:val="ListBullet"/>
        <w:ind w:left="360"/>
      </w:pPr>
      <w:r>
        <w:rPr>
          <w:b/>
        </w:rPr>
        <w:t>Only the mirror item is tracked in Git</w:t>
      </w:r>
      <w:r>
        <w:t xml:space="preserve"> (</w:t>
      </w:r>
      <w:r>
        <w:rPr>
          <w:rFonts w:ascii="Consolas" w:hAnsi="Consolas"/>
          <w:color w:val="A31F34"/>
        </w:rPr>
        <w:t>mirroring.json</w:t>
      </w:r>
      <w:r>
        <w:t xml:space="preserve"> = the table selection). The</w:t>
      </w:r>
    </w:p>
    <w:p>
      <w:r>
        <w:t xml:space="preserve">  </w:t>
      </w:r>
      <w:r>
        <w:rPr>
          <w:b/>
        </w:rPr>
        <w:t>connection, credentials, gateway, SQL analytics endpoint, and any views are *not* tracked</w:t>
      </w:r>
      <w:r>
        <w:t>.</w:t>
      </w:r>
    </w:p>
    <w:p>
      <w:pPr>
        <w:pStyle w:val="ListBullet"/>
        <w:ind w:left="360"/>
      </w:pPr>
      <w:r>
        <w:t xml:space="preserve">Deploying to a stage needs a </w:t>
      </w:r>
      <w:r>
        <w:rPr>
          <w:b/>
        </w:rPr>
        <w:t>deployment rule</w:t>
      </w:r>
      <w:r>
        <w:t xml:space="preserve"> to rebind the mirror to *that* environment's</w:t>
      </w:r>
    </w:p>
    <w:p>
      <w:r>
        <w:t xml:space="preserve">  </w:t>
      </w:r>
      <w:r>
        <w:rPr>
          <w:b/>
        </w:rPr>
        <w:t>source connection ID</w:t>
      </w:r>
      <w:r>
        <w:t xml:space="preserve"> — so you first create the env's gateway connection, then wire the rule.</w:t>
      </w:r>
    </w:p>
    <w:p>
      <w:pPr>
        <w:pStyle w:val="ListBullet"/>
        <w:ind w:left="360"/>
      </w:pPr>
      <w:r>
        <w:t xml:space="preserve">The mirror </w:t>
      </w:r>
      <w:r>
        <w:rPr>
          <w:b/>
        </w:rPr>
        <w:t>isn't started after deployment</w:t>
      </w:r>
      <w:r>
        <w:t xml:space="preserve"> — you start it manually (or via API) in each env,</w:t>
      </w:r>
    </w:p>
    <w:p>
      <w:r>
        <w:t xml:space="preserve">  which triggers a </w:t>
      </w:r>
      <w:r>
        <w:rPr>
          <w:b/>
        </w:rPr>
        <w:t>full re-seed</w:t>
      </w:r>
      <w:r>
        <w:t xml:space="preserve"> (fresh initial copy) from that environment's source.</w:t>
      </w:r>
    </w:p>
    <w:p>
      <w:pPr>
        <w:pStyle w:val="ListBullet"/>
        <w:ind w:left="360"/>
      </w:pPr>
      <w:r>
        <w:t xml:space="preserve">The </w:t>
      </w:r>
      <w:r>
        <w:rPr>
          <w:b/>
        </w:rPr>
        <w:t>source-side CDC prerequisites</w:t>
      </w:r>
      <w:r>
        <w:t xml:space="preserve"> (ARCHIVELOG, LogMiner, supplemental logging, grants) must be</w:t>
      </w:r>
    </w:p>
    <w:p>
      <w:r>
        <w:t xml:space="preserve">  enabled by the DBA on </w:t>
      </w:r>
      <w:r>
        <w:rPr>
          <w:b/>
        </w:rPr>
        <w:t>each</w:t>
      </w:r>
      <w:r>
        <w:t xml:space="preserve"> environment's Oracle — that isn't deployable at all.</w:t>
      </w:r>
    </w:p>
    <w:p>
      <w:pPr>
        <w:pStyle w:val="ListBullet"/>
        <w:ind w:left="360"/>
      </w:pPr>
      <w:r>
        <w:rPr>
          <w:b/>
        </w:rPr>
        <w:t>Downstream objects aren't promoted with the mirror</w:t>
      </w:r>
      <w:r>
        <w:t xml:space="preserve"> — SQL-endpoint views (and of course your</w:t>
      </w:r>
    </w:p>
    <w:p>
      <w:r>
        <w:t xml:space="preserve">  silver/gold and security) are a separate ALM track.</w:t>
      </w:r>
    </w:p>
    <w:p>
      <w:r>
        <w:rPr>
          <w:b/>
        </w:rPr>
        <w:t>Net:</w:t>
      </w:r>
      <w:r>
        <w:t xml:space="preserve"> mirroring's CI/CD moves *which tables to replicate*, but per environment you still create a</w:t>
      </w:r>
    </w:p>
    <w:p>
      <w:r>
        <w:t xml:space="preserve">connection, add a deployment rule, get the DBA to enable CDC on that Oracle, </w:t>
      </w:r>
      <w:r>
        <w:rPr>
          <w:b/>
        </w:rPr>
        <w:t>start</w:t>
      </w:r>
      <w:r>
        <w:t xml:space="preserve"> the mirror,</w:t>
      </w:r>
    </w:p>
    <w:p>
      <w:r>
        <w:t xml:space="preserve">and wait out a </w:t>
      </w:r>
      <w:r>
        <w:rPr>
          <w:b/>
        </w:rPr>
        <w:t>re-seed</w:t>
      </w:r>
      <w:r>
        <w:t xml:space="preserve"> — then promote your silver/gold/security </w:t>
      </w:r>
      <w:r>
        <w:rPr>
          <w:b/>
        </w:rPr>
        <w:t>separately</w:t>
      </w:r>
      <w:r>
        <w:t>. The framework</w:t>
      </w:r>
    </w:p>
    <w:p>
      <w:r>
        <w:t xml:space="preserve">promotes the whole pipeline, raw acquisition through governed gold, as a </w:t>
      </w:r>
      <w:r>
        <w:rPr>
          <w:b/>
        </w:rPr>
        <w:t>single</w:t>
      </w:r>
      <w:r>
        <w:t xml:space="preserve"> config-as-code</w:t>
      </w:r>
    </w:p>
    <w:p>
      <w:r>
        <w:t>artifact. For a three-environment pension estate, that difference is the gap between one repeatable</w:t>
      </w:r>
    </w:p>
    <w:p>
      <w:r>
        <w:rPr>
          <w:rFonts w:ascii="Consolas" w:hAnsi="Consolas"/>
          <w:color w:val="A31F34"/>
        </w:rPr>
        <w:t>cp_config</w:t>
      </w:r>
      <w:r>
        <w:t xml:space="preserve"> run and a portal-plus-DBA checklist repeated in each workspace.</w:t>
      </w:r>
    </w:p>
    <w:p>
      <w:pPr>
        <w:pStyle w:val="Heading2"/>
      </w:pPr>
      <w:r/>
      <w:r>
        <w:t>6.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7.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Maturity.</w:t>
      </w:r>
      <w:r>
        <w:t xml:space="preserve"> Oracle mirroring is </w:t>
      </w:r>
      <w:r>
        <w:rPr>
          <w:b/>
        </w:rPr>
        <w:t>Preview</w:t>
      </w:r>
      <w:r>
        <w:t>; the framework is in production here now.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t xml:space="preserve">6. </w:t>
      </w:r>
      <w:r>
        <w:rPr>
          <w:b/>
        </w:rPr>
        <w:t>Simpler promotion (§5).</w:t>
      </w:r>
      <w:r>
        <w:t xml:space="preserve"> The whole medallion promotes as one config-as-code unit; mirroring</w:t>
      </w:r>
    </w:p>
    <w:p>
      <w:r>
        <w:t xml:space="preserve">   promotes only the replica config and leaves per-env connections, DBA CDC enablement, manual</w:t>
      </w:r>
    </w:p>
    <w:p>
      <w:r>
        <w:t xml:space="preserve">   start, and re-seed as a checklist repeated in each workspace.</w:t>
      </w:r>
    </w:p>
    <w:p>
      <w:r>
        <w:t xml:space="preserve">7. </w:t>
      </w:r>
      <w:r>
        <w:rPr>
          <w:b/>
        </w:rPr>
        <w:t>No new gateway.</w:t>
      </w:r>
      <w:r>
        <w:t xml:space="preserve"> The framework's on-prem Copy can reuse our </w:t>
      </w:r>
      <w:r>
        <w:rPr>
          <w:b/>
        </w:rPr>
        <w:t>existing VNet gateway</w:t>
      </w:r>
      <w:r>
        <w:t>;</w:t>
      </w:r>
    </w:p>
    <w:p>
      <w:r>
        <w:t xml:space="preserve">   mirroring requires a </w:t>
      </w:r>
      <w:r>
        <w:rPr>
          <w:b/>
        </w:rPr>
        <w:t>dedicated on-premises data gateway</w:t>
      </w:r>
      <w:r>
        <w:t xml:space="preserve"> (the VNet one can't serve it), running</w:t>
      </w:r>
    </w:p>
    <w:p>
      <w:r>
        <w:t xml:space="preserve">   24/7 for CDC — extra infrastructure to provision, secure, and HA-cluster (§2).</w:t>
      </w:r>
    </w:p>
    <w:p>
      <w:r>
        <w:rPr>
          <w:b/>
        </w:rPr>
        <w:t>But adopt Mirroring selectively, as a hybrid</w:t>
      </w:r>
      <w:r>
        <w:t>, once it's GA and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CI/CD for mirrored databases</w:t>
      </w:r>
      <w:r>
        <w:t xml:space="preserve"> ·</w:t>
      </w:r>
    </w:p>
    <w:p>
      <w:r>
        <w:rPr>
          <w:color w:val="1A5FB4"/>
          <w:u w:val="single"/>
        </w:rPr>
        <w:t>Mirroring for Oracle (Preview)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>Oracle mirroring is Preview as of this writing; verify limits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