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unique_names, now_ts, landed_table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SCHEMAS, column_map</w:t>
        <w:br/>
        <w:t xml:space="preserve">    gold/                      #   GOLD TABLE OPERATOR — one strategy file per type — auto-registered</w:t>
        <w:br/>
        <w:t xml:space="preserve">      __init__.py              #     registry + @gold_strategy + gold_merge(stage,type,table,keys,run_id)</w:t>
        <w:br/>
        <w:t xml:space="preserve">      scd1.py  scd2.py  fact.py</w:t>
        <w:br/>
        <w:t xml:space="preserve">    connectors/                #   ONE FILE PER SOURCE — auto-registered</w:t>
        <w:br/>
        <w:t xml:space="preserve">      __init__.py  base.py     #     registry + @ingest_connector + resolve/run_connector; shared helpers</w:t>
        <w:br/>
        <w:t xml:space="preserve">      jdbc.py odbc.py http.py oracle.py db2.py staged.py entra.py file.py</w:t>
        <w:br/>
        <w:t xml:space="preserve">    discovery/                 #   ONE FILE PER DISCOVERER (sqlserver, jdbc_ansi=pg/mysql, db2, oracle, statcan)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  dropbox.py</w:t>
        <w:br/>
        <w:t xml:space="preserve">  notebooks/</w:t>
        <w:br/>
        <w:t xml:space="preserve">    cp_framework.py            # GENERATED by cp_bundle.py — do not edit</w:t>
        <w:br/>
        <w:t xml:space="preserve">    bronze_worker/silver_worker/metadata_worker/cp_plan/gold_runner/dropbox_worker.py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cp_folders.py              # workspace folder placement (notebook/ +utility/sourcequery, pipeline/)</w:t>
        <w:br/>
        <w:t xml:space="preserve">    cp_deploy.py cp_config.py cp_sqldb.py cp_security.py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Lakehouses</w:t>
      </w:r>
      <w:r>
        <w:t xml:space="preserve"> (resolved by name from </w:t>
      </w:r>
      <w:r>
        <w:rPr>
          <w:rFonts w:ascii="Consolas" w:hAnsi="Consolas"/>
          <w:color w:val="A31F34"/>
        </w:rPr>
        <w:t>cp_vars</w:t>
      </w:r>
      <w:r>
        <w:t xml:space="preserve">): </w:t>
      </w:r>
      <w:r>
        <w:rPr>
          <w:rFonts w:ascii="Consolas" w:hAnsi="Consolas"/>
          <w:color w:val="A31F34"/>
        </w:rPr>
        <w:t>LH_metadata</w:t>
      </w:r>
      <w:r>
        <w:t xml:space="preserve"> (control/audit/ledger), </w:t>
      </w:r>
      <w:r>
        <w:rPr>
          <w:rFonts w:ascii="Consolas" w:hAnsi="Consolas"/>
          <w:color w:val="A31F34"/>
        </w:rPr>
        <w:t>LH_bronze</w:t>
      </w:r>
      <w:r>
        <w:t>,</w:t>
      </w:r>
    </w:p>
    <w:p>
      <w:r>
        <w:rPr>
          <w:rFonts w:ascii="Consolas" w:hAnsi="Consolas"/>
          <w:color w:val="A31F34"/>
        </w:rPr>
        <w:t>LH_silver</w:t>
      </w:r>
      <w:r>
        <w:t xml:space="preserve">, </w:t>
      </w:r>
      <w:r>
        <w:rPr>
          <w:rFonts w:ascii="Consolas" w:hAnsi="Consolas"/>
          <w:color w:val="A31F34"/>
        </w:rPr>
        <w:t>LH_gold</w:t>
      </w:r>
      <w:r>
        <w:t xml:space="preserve"> (medallion), and </w:t>
      </w:r>
      <w:r>
        <w:rPr>
          <w:rFonts w:ascii="Consolas" w:hAnsi="Consolas"/>
          <w:color w:val="A31F34"/>
        </w:rPr>
        <w:t>LH_Filedrop</w:t>
      </w:r>
      <w:r>
        <w:t xml:space="preserve"> (dropbox landing — see §8).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r>
        <w:rPr>
          <w:b/>
        </w:rPr>
        <w:t>Built-in connectors:</w:t>
      </w:r>
      <w:r>
        <w:t xml:space="preserve"> </w:t>
      </w:r>
      <w:r>
        <w:rPr>
          <w:rFonts w:ascii="Consolas" w:hAnsi="Consolas"/>
          <w:color w:val="A31F34"/>
        </w:rPr>
        <w:t>jdbc</w:t>
      </w:r>
      <w:r>
        <w:t xml:space="preserve"> (sqlserver/postgresql/mysql), </w:t>
      </w:r>
      <w:r>
        <w:rPr>
          <w:rFonts w:ascii="Consolas" w:hAnsi="Consolas"/>
          <w:color w:val="A31F34"/>
        </w:rPr>
        <w:t>oracle</w:t>
      </w:r>
      <w:r>
        <w:t xml:space="preserve">, </w:t>
      </w:r>
      <w:r>
        <w:rPr>
          <w:rFonts w:ascii="Consolas" w:hAnsi="Consolas"/>
          <w:color w:val="A31F34"/>
        </w:rPr>
        <w:t>db2</w:t>
      </w:r>
      <w:r>
        <w:t xml:space="preserve">, </w:t>
      </w:r>
      <w:r>
        <w:rPr>
          <w:rFonts w:ascii="Consolas" w:hAnsi="Consolas"/>
          <w:color w:val="A31F34"/>
        </w:rPr>
        <w:t>odbc</w:t>
      </w:r>
      <w:r>
        <w:t xml:space="preserve">, </w:t>
      </w:r>
      <w:r>
        <w:rPr>
          <w:rFonts w:ascii="Consolas" w:hAnsi="Consolas"/>
          <w:color w:val="A31F34"/>
        </w:rPr>
        <w:t>http</w:t>
      </w:r>
    </w:p>
    <w:p>
      <w:r>
        <w:t xml:space="preserve">(any REST/CSV/zip-CSV API), </w:t>
      </w:r>
      <w:r>
        <w:rPr>
          <w:rFonts w:ascii="Consolas" w:hAnsi="Consolas"/>
          <w:color w:val="A31F34"/>
        </w:rPr>
        <w:t>staged</w:t>
      </w:r>
      <w:r>
        <w:t xml:space="preserve"> (on-prem via gateway), </w:t>
      </w:r>
      <w:r>
        <w:rPr>
          <w:b/>
        </w:rPr>
        <w:t>`entra`</w:t>
      </w:r>
      <w:r>
        <w:t xml:space="preserve"> (Microsoft Graph —</w:t>
      </w:r>
    </w:p>
    <w:p>
      <w:r>
        <w:t xml:space="preserve">client-credentials, paginated directory objects), </w:t>
      </w:r>
      <w:r>
        <w:rPr>
          <w:b/>
        </w:rPr>
        <w:t>`file`</w:t>
      </w:r>
      <w:r>
        <w:t xml:space="preserve"> (dropbox csv/txt/xlsx/xls).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@gold_strategy("type")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(gold_path, stage_df, keys) -&gt; None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gold, dropbox)</w:t>
      </w:r>
      <w:r>
        <w:t>; the wheel exposes the</w:t>
      </w:r>
    </w:p>
    <w:p>
      <w:r>
        <w:t xml:space="preserve">same via </w:t>
      </w:r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</w:t>
      </w:r>
    </w:p>
    <w:p>
      <w:r>
        <w:t xml:space="preserve">pipeline 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 gold object (topo order): run its SQ notebook → read the stage → apply the type's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workers.dropbox(run_id, file_path)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+ load ONE dropped file (or scan all of </w:t>
            </w:r>
            <w:r>
              <w:rPr>
                <w:rFonts w:ascii="Consolas" w:hAnsi="Consolas"/>
                <w:color w:val="A31F34"/>
                <w:sz w:val="18"/>
              </w:rPr>
              <w:t>newfile/</w:t>
            </w:r>
            <w:r>
              <w:rPr>
                <w:sz w:val="18"/>
              </w:rPr>
              <w:t>) — see §8</w:t>
            </w:r>
          </w:p>
        </w:tc>
      </w:tr>
    </w:tbl>
    <w:p/>
    <w:p>
      <w:r>
        <w:rPr>
          <w:b/>
        </w:rPr>
        <w:t>Gold build — stage then strategy.</w:t>
      </w:r>
      <w:r>
        <w:t xml:space="preserve"> A model's gold tables build in dependency order. For each</w:t>
      </w:r>
    </w:p>
    <w:p>
      <w:r>
        <w:rPr>
          <w:rFonts w:ascii="Consolas" w:hAnsi="Consolas"/>
          <w:color w:val="A31F34"/>
        </w:rPr>
        <w:t>gold_object</w:t>
      </w:r>
      <w:r>
        <w:t xml:space="preserve">, the runner runs its </w:t>
      </w:r>
      <w:r>
        <w:rPr>
          <w:b/>
        </w:rPr>
        <w:t>source-query notebook</w:t>
      </w:r>
      <w:r>
        <w:t xml:space="preserve"> — a *framework-free* SparkSQL/PySpark</w:t>
      </w:r>
    </w:p>
    <w:p>
      <w:r>
        <w:t xml:space="preserve">transform that reads silver and writes a </w:t>
      </w:r>
      <w:r>
        <w:rPr>
          <w:b/>
        </w:rPr>
        <w:t>stage</w:t>
      </w:r>
      <w:r>
        <w:t xml:space="preserve"> table (`CREATE OR REPLACE TABLE stage.&lt;t&gt; AS</w:t>
      </w:r>
    </w:p>
    <w:p>
      <w:r>
        <w:t>SELECT …</w:t>
      </w:r>
      <w:r>
        <w:rPr>
          <w:rFonts w:ascii="Consolas" w:hAnsi="Consolas"/>
          <w:color w:val="A31F34"/>
        </w:rPr>
        <w:t xml:space="preserve">) — then reads that stage and applies the **strategy** for the object's </w:t>
      </w:r>
      <w:r>
        <w:t>gold_type`</w:t>
      </w:r>
    </w:p>
    <w:p>
      <w:r>
        <w:t xml:space="preserve">(scd1/scd2/fact) to merge it into gold. The merge lives in </w:t>
      </w:r>
      <w:r>
        <w:rPr>
          <w:rFonts w:ascii="Consolas" w:hAnsi="Consolas"/>
          <w:color w:val="A31F34"/>
        </w:rPr>
        <w:t>cp/gold/</w:t>
      </w:r>
      <w:r>
        <w:t>, never in the notebook, so</w:t>
      </w:r>
    </w:p>
    <w:p>
      <w:r>
        <w:t xml:space="preserve">SQ notebooks stay pure transforms. Deploy attaches </w:t>
      </w:r>
      <w:r>
        <w:rPr>
          <w:rFonts w:ascii="Consolas" w:hAnsi="Consolas"/>
          <w:color w:val="A31F34"/>
        </w:rPr>
        <w:t>LH_silver</w:t>
      </w:r>
      <w:r>
        <w:t>+</w:t>
      </w:r>
      <w:r>
        <w:rPr>
          <w:rFonts w:ascii="Consolas" w:hAnsi="Consolas"/>
          <w:color w:val="A31F34"/>
        </w:rPr>
        <w:t>LH_gold</w:t>
      </w:r>
      <w:r>
        <w:t xml:space="preserve"> to the SQ notebooks (and</w:t>
      </w:r>
    </w:p>
    <w:p>
      <w:r>
        <w:t xml:space="preserve">to </w:t>
      </w:r>
      <w:r>
        <w:rPr>
          <w:rFonts w:ascii="Consolas" w:hAnsi="Consolas"/>
          <w:color w:val="A31F34"/>
        </w:rPr>
        <w:t>gold_runner</w:t>
      </w:r>
      <w:r>
        <w:t xml:space="preserve">, since </w:t>
      </w:r>
      <w:r>
        <w:rPr>
          <w:rFonts w:ascii="Consolas" w:hAnsi="Consolas"/>
          <w:color w:val="A31F34"/>
        </w:rPr>
        <w:t>notebook.run</w:t>
      </w:r>
      <w:r>
        <w:t xml:space="preserve"> executes the child in the parent's lakehouse context); the</w:t>
      </w:r>
    </w:p>
    <w:p>
      <w:r>
        <w:t xml:space="preserve">silver name is injected from </w:t>
      </w:r>
      <w:r>
        <w:rPr>
          <w:rFonts w:ascii="Consolas" w:hAnsi="Consolas"/>
          <w:color w:val="A31F34"/>
        </w:rPr>
        <w:t>cp_vars</w:t>
      </w:r>
      <w:r>
        <w:t>, so it's rename-safe.</w:t>
      </w:r>
    </w:p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r>
        <w:t xml:space="preserve">Lakehouse </w:t>
      </w:r>
      <w:r>
        <w:rPr>
          <w:b/>
        </w:rPr>
        <w:t>names</w:t>
      </w:r>
      <w:r>
        <w:t xml:space="preserve"> live in exactly one place — the </w:t>
      </w:r>
      <w:r>
        <w:rPr>
          <w:rFonts w:ascii="Consolas" w:hAnsi="Consolas"/>
          <w:color w:val="A31F34"/>
        </w:rPr>
        <w:t>cp_vars</w:t>
      </w:r>
      <w:r>
        <w:t xml:space="preserve"> </w:t>
      </w:r>
      <w:r>
        <w:rPr>
          <w:rFonts w:ascii="Consolas" w:hAnsi="Consolas"/>
          <w:color w:val="A31F34"/>
        </w:rPr>
        <w:t>*_lakehouse</w:t>
      </w:r>
      <w:r>
        <w:t xml:space="preserve"> variables. The runtime</w:t>
      </w:r>
    </w:p>
    <w:p>
      <w:r>
        <w:t>and *all* deploy tooling (</w:t>
      </w:r>
      <w:r>
        <w:rPr>
          <w:rFonts w:ascii="Consolas" w:hAnsi="Consolas"/>
          <w:color w:val="A31F34"/>
        </w:rPr>
        <w:t>cp_common</w:t>
      </w:r>
      <w:r>
        <w:t xml:space="preserve">, </w:t>
      </w:r>
      <w:r>
        <w:rPr>
          <w:rFonts w:ascii="Consolas" w:hAnsi="Consolas"/>
          <w:color w:val="A31F34"/>
        </w:rPr>
        <w:t>cp_pipeline</w:t>
      </w:r>
      <w:r>
        <w:t xml:space="preserve"> Copy sinks, </w:t>
      </w:r>
      <w:r>
        <w:rPr>
          <w:rFonts w:ascii="Consolas" w:hAnsi="Consolas"/>
          <w:color w:val="A31F34"/>
        </w:rPr>
        <w:t>cp_security</w:t>
      </w:r>
      <w:r>
        <w:t>) resolve logical</w:t>
      </w:r>
    </w:p>
    <w:p>
      <w:r>
        <w:t>layers (</w:t>
      </w:r>
      <w:r>
        <w:rPr>
          <w:rFonts w:ascii="Consolas" w:hAnsi="Consolas"/>
          <w:color w:val="A31F34"/>
        </w:rPr>
        <w:t>bronze</w:t>
      </w:r>
      <w:r>
        <w:t>/</w:t>
      </w:r>
      <w:r>
        <w:rPr>
          <w:rFonts w:ascii="Consolas" w:hAnsi="Consolas"/>
          <w:color w:val="A31F34"/>
        </w:rPr>
        <w:t>silver</w:t>
      </w:r>
      <w:r>
        <w:t>/…) → physical names (</w:t>
      </w:r>
      <w:r>
        <w:rPr>
          <w:rFonts w:ascii="Consolas" w:hAnsi="Consolas"/>
          <w:color w:val="A31F34"/>
        </w:rPr>
        <w:t>LH_bronze</w:t>
      </w:r>
      <w:r>
        <w:t>/…) through it (</w:t>
      </w:r>
      <w:r>
        <w:rPr>
          <w:rFonts w:ascii="Consolas" w:hAnsi="Consolas"/>
          <w:color w:val="A31F34"/>
        </w:rPr>
        <w:t>cp_manifest.LAKEHOUSE_NAMES</w:t>
      </w:r>
      <w:r>
        <w:t>),</w:t>
      </w:r>
    </w:p>
    <w:p>
      <w:r>
        <w:t xml:space="preserve">so </w:t>
      </w:r>
      <w:r>
        <w:rPr>
          <w:b/>
        </w:rPr>
        <w:t>renaming a lakehouse is a one-line `variables.json` edit</w:t>
      </w:r>
      <w:r>
        <w:t xml:space="preserve"> with no code changes anywhere.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Event-driven file intake (dropbox)</w:t>
      </w:r>
    </w:p>
    <w:p>
      <w:r>
        <w:t>Ad-hoc files (voice-of-customer surveys, one-off spreadsheets) land in a dedicated lakehouse and</w:t>
      </w:r>
    </w:p>
    <w:p>
      <w:r>
        <w:t>flow into the same medallion — no config authoring, no code. It reuses the whole engine; the only</w:t>
      </w:r>
    </w:p>
    <w:p>
      <w:r>
        <w:t xml:space="preserve">new parts are the </w:t>
      </w:r>
      <w:r>
        <w:rPr>
          <w:rFonts w:ascii="Consolas" w:hAnsi="Consolas"/>
          <w:color w:val="A31F34"/>
        </w:rPr>
        <w:t>file</w:t>
      </w:r>
      <w:r>
        <w:t xml:space="preserve"> connector, </w:t>
      </w:r>
      <w:r>
        <w:rPr>
          <w:rFonts w:ascii="Consolas" w:hAnsi="Consolas"/>
          <w:color w:val="A31F34"/>
        </w:rPr>
        <w:t>workers.dropbox</w:t>
      </w:r>
      <w:r>
        <w:t xml:space="preserve">, and the </w:t>
      </w:r>
      <w:r>
        <w:rPr>
          <w:rFonts w:ascii="Consolas" w:hAnsi="Consolas"/>
          <w:color w:val="A31F34"/>
        </w:rPr>
        <w:t>cp_pl_dropbox</w:t>
      </w:r>
      <w:r>
        <w:t xml:space="preserve"> pipeline + trigger.</w:t>
      </w:r>
    </w:p>
    <w:p>
      <w:r>
        <w:rPr>
          <w:b/>
        </w:rPr>
        <w:t>Landing layout</w:t>
      </w:r>
      <w:r>
        <w:t xml:space="preserve"> — lakehouse </w:t>
      </w:r>
      <w:r>
        <w:rPr>
          <w:b/>
        </w:rPr>
        <w:t>`LH_Filedrop`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Files/newfile/&lt;schema&gt;/&lt;file&gt;     users drop here; subfolder = medallion schema (root file -&gt; dbo)</w:t>
        <w:br/>
        <w:t>Files/archive/YYYY/MM/DD/&lt;file&gt;   processed files are moved here (grouped by day, not per run)</w:t>
      </w:r>
    </w:p>
    <w:p>
      <w:r>
        <w:rPr>
          <w:b/>
        </w:rPr>
        <w:t>Flow</w:t>
      </w:r>
      <w:r>
        <w:t xml:space="preserve"> — a </w:t>
      </w:r>
      <w:r>
        <w:rPr>
          <w:b/>
        </w:rPr>
        <w:t>OneLake event trigger</w:t>
      </w:r>
      <w:r>
        <w:t xml:space="preserve"> on </w:t>
      </w:r>
      <w:r>
        <w:rPr>
          <w:rFonts w:ascii="Consolas" w:hAnsi="Consolas"/>
          <w:color w:val="A31F34"/>
        </w:rPr>
        <w:t>newfile/**</w:t>
      </w:r>
      <w:r>
        <w:t xml:space="preserve"> fires </w:t>
      </w:r>
      <w:r>
        <w:rPr>
          <w:b/>
        </w:rPr>
        <w:t>one pipeline run per file created</w:t>
      </w:r>
      <w:r>
        <w:t>,</w:t>
      </w:r>
    </w:p>
    <w:p>
      <w:r>
        <w:t xml:space="preserve">passing the file's path as the CloudEvent </w:t>
      </w:r>
      <w:r>
        <w:rPr>
          <w:rFonts w:ascii="Consolas" w:hAnsi="Consolas"/>
          <w:color w:val="A31F34"/>
        </w:rPr>
        <w:t>Subject</w:t>
      </w:r>
      <w:r>
        <w:t xml:space="preserve">. </w:t>
      </w:r>
      <w:r>
        <w:rPr>
          <w:rFonts w:ascii="Consolas" w:hAnsi="Consolas"/>
          <w:color w:val="A31F34"/>
        </w:rPr>
        <w:t>cp_pl_dropbox</w:t>
      </w:r>
      <w:r>
        <w:t xml:space="preserve"> → the thin </w:t>
      </w:r>
      <w:r>
        <w:rPr>
          <w:rFonts w:ascii="Consolas" w:hAnsi="Consolas"/>
          <w:color w:val="A31F34"/>
        </w:rPr>
        <w:t>dropbox_worker</w:t>
      </w:r>
      <w:r>
        <w:t xml:space="preserve"> →</w:t>
      </w:r>
    </w:p>
    <w:p>
      <w:r>
        <w:rPr>
          <w:rFonts w:ascii="Consolas" w:hAnsi="Consolas"/>
          <w:color w:val="A31F34"/>
        </w:rPr>
        <w:t>workers.dropbox(file_path)</w:t>
      </w:r>
      <w:r>
        <w:t>:</w:t>
      </w:r>
    </w:p>
    <w:p>
      <w:r>
        <w:t xml:space="preserve">1. Parse path → schema (subfolder or </w:t>
      </w:r>
      <w:r>
        <w:rPr>
          <w:rFonts w:ascii="Consolas" w:hAnsi="Consolas"/>
          <w:color w:val="A31F34"/>
        </w:rPr>
        <w:t>dbo</w:t>
      </w:r>
      <w:r>
        <w:t>), filename, extension; hash the bytes.</w:t>
      </w:r>
    </w:p>
    <w:p>
      <w:r>
        <w:t xml:space="preserve">2. </w:t>
      </w:r>
      <w:r>
        <w:rPr>
          <w:b/>
        </w:rPr>
        <w:t>Ledger check</w:t>
      </w:r>
      <w:r>
        <w:t xml:space="preserve"> — skip if this </w:t>
      </w:r>
      <w:r>
        <w:rPr>
          <w:rFonts w:ascii="Consolas" w:hAnsi="Consolas"/>
          <w:color w:val="A31F34"/>
        </w:rPr>
        <w:t>(schema/file, content-hash)</w:t>
      </w:r>
      <w:r>
        <w:t xml:space="preserve"> is already in </w:t>
      </w:r>
      <w:r>
        <w:rPr>
          <w:rFonts w:ascii="Consolas" w:hAnsi="Consolas"/>
          <w:color w:val="A31F34"/>
        </w:rPr>
        <w:t>dropbox_ledger</w:t>
      </w:r>
      <w:r>
        <w:t>.</w:t>
      </w:r>
    </w:p>
    <w:p>
      <w:r>
        <w:t xml:space="preserve">3. </w:t>
      </w:r>
      <w:r>
        <w:rPr>
          <w:b/>
        </w:rPr>
        <w:t>Register</w:t>
      </w:r>
      <w:r>
        <w:t xml:space="preserve"> (idempotent) a </w:t>
      </w:r>
      <w:r>
        <w:rPr>
          <w:rFonts w:ascii="Consolas" w:hAnsi="Consolas"/>
          <w:color w:val="A31F34"/>
        </w:rPr>
        <w:t>file</w:t>
      </w:r>
      <w:r>
        <w:t xml:space="preserve"> datasource for the schema + one </w:t>
      </w:r>
      <w:r>
        <w:rPr>
          <w:rFonts w:ascii="Consolas" w:hAnsi="Consolas"/>
          <w:color w:val="A31F34"/>
        </w:rPr>
        <w:t>source_object</w:t>
      </w:r>
      <w:r>
        <w:t xml:space="preserve"> per file, and</w:t>
      </w:r>
    </w:p>
    <w:p>
      <w:r>
        <w:t xml:space="preserve">   </w:t>
      </w:r>
      <w:r>
        <w:rPr>
          <w:b/>
        </w:rPr>
        <w:t>per Excel sheet</w:t>
      </w:r>
      <w:r>
        <w:t xml:space="preserve"> (</w:t>
      </w:r>
      <w:r>
        <w:rPr>
          <w:rFonts w:ascii="Consolas" w:hAnsi="Consolas"/>
          <w:color w:val="A31F34"/>
        </w:rPr>
        <w:t>.xlsx</w:t>
      </w:r>
      <w:r>
        <w:t>/</w:t>
      </w:r>
      <w:r>
        <w:rPr>
          <w:rFonts w:ascii="Consolas" w:hAnsi="Consolas"/>
          <w:color w:val="A31F34"/>
        </w:rPr>
        <w:t>.xls</w:t>
      </w:r>
      <w:r>
        <w:t xml:space="preserve"> → </w:t>
      </w:r>
      <w:r>
        <w:rPr>
          <w:rFonts w:ascii="Consolas" w:hAnsi="Consolas"/>
          <w:color w:val="A31F34"/>
        </w:rPr>
        <w:t>&lt;file&gt;_&lt;tab&gt;</w:t>
      </w:r>
      <w:r>
        <w:t>; csv/txt → one table). Landing name is clean</w:t>
      </w:r>
    </w:p>
    <w:p>
      <w:r>
        <w:t xml:space="preserve">   (</w:t>
      </w:r>
      <w:r>
        <w:rPr>
          <w:rFonts w:ascii="Consolas" w:hAnsi="Consolas"/>
          <w:color w:val="A31F34"/>
        </w:rPr>
        <w:t>&lt;schema&gt;.&lt;file[_tab]&gt;</w:t>
      </w:r>
      <w:r>
        <w:t xml:space="preserve">, no </w:t>
      </w:r>
      <w:r>
        <w:rPr>
          <w:rFonts w:ascii="Consolas" w:hAnsi="Consolas"/>
          <w:color w:val="A31F34"/>
        </w:rPr>
        <w:t>dbo_</w:t>
      </w:r>
      <w:r>
        <w:t xml:space="preserve"> prefix) via a </w:t>
      </w:r>
      <w:r>
        <w:rPr>
          <w:rFonts w:ascii="Consolas" w:hAnsi="Consolas"/>
          <w:color w:val="A31F34"/>
        </w:rPr>
        <w:t>landed</w:t>
      </w:r>
      <w:r>
        <w:t xml:space="preserve"> override in </w:t>
      </w:r>
      <w:r>
        <w:rPr>
          <w:rFonts w:ascii="Consolas" w:hAnsi="Consolas"/>
          <w:color w:val="A31F34"/>
        </w:rPr>
        <w:t>source_options_json</w:t>
      </w:r>
      <w:r>
        <w:t>.</w:t>
      </w:r>
    </w:p>
    <w:p>
      <w:r>
        <w:t xml:space="preserve">4. </w:t>
      </w:r>
      <w:r>
        <w:rPr>
          <w:b/>
        </w:rPr>
        <w:t>Bronze APPEND</w:t>
      </w:r>
      <w:r>
        <w:t xml:space="preserve"> (raw history of every drop) → </w:t>
      </w:r>
      <w:r>
        <w:rPr>
          <w:b/>
        </w:rPr>
        <w:t>silver = the latest drop</w:t>
      </w:r>
      <w:r>
        <w:t>, row-hash</w:t>
      </w:r>
    </w:p>
    <w:p>
      <w:r>
        <w:t xml:space="preserve">   de-duplicated (keyless default), so re-dropping identical content is idempotent and a re-dropped</w:t>
      </w:r>
    </w:p>
    <w:p>
      <w:r>
        <w:t xml:space="preserve">   *updated* file replaces silver with its latest snapshot (older drops stay as bronze history).</w:t>
      </w:r>
    </w:p>
    <w:p>
      <w:r>
        <w:t xml:space="preserve">   Files are read </w:t>
      </w:r>
      <w:r>
        <w:rPr>
          <w:b/>
        </w:rPr>
        <w:t>as strings</w:t>
      </w:r>
      <w:r>
        <w:t xml:space="preserve"> so the row hash is stable across drops.</w:t>
      </w:r>
    </w:p>
    <w:p>
      <w:r>
        <w:t xml:space="preserve">5. </w:t>
      </w:r>
      <w:r>
        <w:rPr>
          <w:b/>
        </w:rPr>
        <w:t>Archive</w:t>
      </w:r>
      <w:r>
        <w:t xml:space="preserve"> the file to </w:t>
      </w:r>
      <w:r>
        <w:rPr>
          <w:rFonts w:ascii="Consolas" w:hAnsi="Consolas"/>
          <w:color w:val="A31F34"/>
        </w:rPr>
        <w:t>archive/YYYY/MM/DD/</w:t>
      </w:r>
      <w:r>
        <w:t xml:space="preserve"> and write the ledger row.</w:t>
      </w:r>
    </w:p>
    <w:p>
      <w:r>
        <w:rPr>
          <w:b/>
        </w:rPr>
        <w:t>Idempotency &amp; concurrency</w:t>
      </w:r>
      <w:r>
        <w:t xml:space="preserve"> — three layers make it safe under the per-file event model (a batch</w:t>
      </w:r>
    </w:p>
    <w:p>
      <w:r>
        <w:t xml:space="preserve">of *N* files = *N* concurrent runs): the </w:t>
      </w:r>
      <w:r>
        <w:rPr>
          <w:b/>
        </w:rPr>
        <w:t>hash ledger</w:t>
      </w:r>
      <w:r>
        <w:t xml:space="preserve"> skips duplicate events, the **row-hash</w:t>
      </w:r>
    </w:p>
    <w:p>
      <w:r>
        <w:t>dedup</w:t>
      </w:r>
      <w:r>
        <w:rPr>
          <w:b/>
        </w:rPr>
        <w:t xml:space="preserve"> means even a duplicate that slips through adds no rows, and </w:t>
      </w:r>
      <w:r>
        <w:rPr>
          <w:rFonts w:ascii="Consolas" w:hAnsi="Consolas"/>
          <w:color w:val="A31F34"/>
        </w:rPr>
        <w:t>seed_control_tables</w:t>
      </w:r>
      <w:r>
        <w:t xml:space="preserve"> is</w:t>
      </w:r>
    </w:p>
    <w:p>
      <w:r>
        <w:t>concurrency-safe** (tolerates the Delta "empty directory" create race on a fresh lakehouse). With</w:t>
      </w:r>
    </w:p>
    <w:p>
      <w:r>
        <w:t xml:space="preserve">no </w:t>
      </w:r>
      <w:r>
        <w:rPr>
          <w:rFonts w:ascii="Consolas" w:hAnsi="Consolas"/>
          <w:color w:val="A31F34"/>
        </w:rPr>
        <w:t>file_path</w:t>
      </w:r>
      <w:r>
        <w:t xml:space="preserve">, </w:t>
      </w:r>
      <w:r>
        <w:rPr>
          <w:rFonts w:ascii="Consolas" w:hAnsi="Consolas"/>
          <w:color w:val="A31F34"/>
        </w:rPr>
        <w:t>workers.dropbox</w:t>
      </w:r>
      <w:r>
        <w:t xml:space="preserve"> </w:t>
      </w:r>
      <w:r>
        <w:rPr>
          <w:b/>
        </w:rPr>
        <w:t>scans</w:t>
      </w:r>
      <w:r>
        <w:t xml:space="preserve"> all of </w:t>
      </w:r>
      <w:r>
        <w:rPr>
          <w:rFonts w:ascii="Consolas" w:hAnsi="Consolas"/>
          <w:color w:val="A31F34"/>
        </w:rPr>
        <w:t>newfile/</w:t>
      </w:r>
      <w:r>
        <w:t xml:space="preserve"> — the manual/scheduled batch path.</w:t>
      </w:r>
    </w:p>
    <w:p>
      <w:r>
        <w:t>&gt; Event triggers are inherently *per file* (Fabric emits one event per created file and can't</w:t>
      </w:r>
    </w:p>
    <w:p>
      <w:r>
        <w:t>&gt; coalesce them). For a single run that batches everything, schedule the scan instead.</w:t>
      </w:r>
    </w:p>
    <w:p>
      <w:r>
        <w:rPr>
          <w:b/>
        </w:rPr>
        <w:t>Snapshot / soft-delete mode.</w:t>
      </w:r>
      <w:r>
        <w:t xml:space="preserve"> Name a file </w:t>
      </w:r>
      <w:r>
        <w:rPr>
          <w:rFonts w:ascii="Consolas" w:hAnsi="Consolas"/>
          <w:color w:val="A31F34"/>
        </w:rPr>
        <w:t>&lt;name&gt;__key=&lt;col&gt;[,&lt;col&gt;].&lt;ext&gt;</w:t>
      </w:r>
      <w:r>
        <w:t xml:space="preserve"> and each drop is</w:t>
      </w:r>
    </w:p>
    <w:p>
      <w:r>
        <w:t xml:space="preserve">treated as a </w:t>
      </w:r>
      <w:r>
        <w:rPr>
          <w:b/>
        </w:rPr>
        <w:t>keyed snapshot</w:t>
      </w:r>
      <w:r>
        <w:t xml:space="preserve"> on </w:t>
      </w:r>
      <w:r>
        <w:rPr>
          <w:rFonts w:ascii="Consolas" w:hAnsi="Consolas"/>
          <w:color w:val="A31F34"/>
        </w:rPr>
        <w:t>&lt;col&gt;</w:t>
      </w:r>
      <w:r>
        <w:t xml:space="preserve"> instead of the keyless row-hash dedup: silver dedups on</w:t>
      </w:r>
    </w:p>
    <w:p>
      <w:r>
        <w:t xml:space="preserve">the key keeping the </w:t>
      </w:r>
      <w:r>
        <w:rPr>
          <w:b/>
        </w:rPr>
        <w:t>latest</w:t>
      </w:r>
      <w:r>
        <w:t xml:space="preserve"> values, and a key present in an earlier drop but **absent from the</w:t>
      </w:r>
    </w:p>
    <w:p>
      <w:r>
        <w:t xml:space="preserve">newest** one is retained with </w:t>
      </w:r>
      <w:r>
        <w:rPr>
          <w:rFonts w:ascii="Consolas" w:hAnsi="Consolas"/>
          <w:color w:val="A31F34"/>
        </w:rPr>
        <w:t>_is_deleted = true</w:t>
      </w:r>
      <w:r>
        <w:t xml:space="preserve"> / </w:t>
      </w:r>
      <w:r>
        <w:rPr>
          <w:rFonts w:ascii="Consolas" w:hAnsi="Consolas"/>
          <w:color w:val="A31F34"/>
        </w:rPr>
        <w:t>_deleted_at</w:t>
      </w:r>
      <w:r>
        <w:t xml:space="preserve"> (a key that reappears later flips</w:t>
      </w:r>
    </w:p>
    <w:p>
      <w:r>
        <w:t xml:space="preserve">back). Re-drop the </w:t>
      </w:r>
      <w:r>
        <w:rPr>
          <w:b/>
        </w:rPr>
        <w:t>same filename</w:t>
      </w:r>
      <w:r>
        <w:t xml:space="preserve"> to feed the next snapshot. This just surfaces the general</w:t>
      </w:r>
    </w:p>
    <w:p>
      <w:r>
        <w:t xml:space="preserve">delete-detection capability — which is </w:t>
      </w:r>
      <w:r>
        <w:rPr>
          <w:b/>
        </w:rPr>
        <w:t>on by default for any keyed full/snapshot load</w:t>
      </w:r>
      <w:r>
        <w:t xml:space="preserve"> (see §4 /</w:t>
      </w:r>
    </w:p>
    <w:p>
      <w:r>
        <w:rPr>
          <w:rFonts w:ascii="Consolas" w:hAnsi="Consolas"/>
          <w:color w:val="A31F34"/>
        </w:rPr>
        <w:t>WORKING_GUIDE.md</w:t>
      </w:r>
      <w:r>
        <w:t xml:space="preserve"> §4.2), not dropbox-specific. Bronze keeps every snapshot, so "present in batch</w:t>
      </w:r>
    </w:p>
    <w:p>
      <w:r>
        <w:t xml:space="preserve">*N*, gone in *N+1*" stays a plain query — deletes are </w:t>
      </w:r>
      <w:r>
        <w:rPr>
          <w:b/>
        </w:rPr>
        <w:t>auditable</w:t>
      </w:r>
      <w:r>
        <w:t>, not silent</w:t>
      </w:r>
    </w:p>
    <w:p>
      <w:r>
        <w:t xml:space="preserve">(see </w:t>
      </w:r>
      <w:r>
        <w:rPr>
          <w:rFonts w:ascii="Consolas" w:hAnsi="Consolas"/>
          <w:color w:val="A31F34"/>
        </w:rPr>
        <w:t>docs/BRONZE_VS_MIRRORING.md</w:t>
      </w:r>
      <w:r>
        <w:t xml:space="preserve"> §3).</w:t>
      </w:r>
    </w:p>
    <w:p>
      <w:r>
        <w:rPr>
          <w:b/>
        </w:rPr>
        <w:t>Original column names (`column_map`) &amp; collisions.</w:t>
      </w:r>
      <w:r>
        <w:t xml:space="preserve"> Column names are sanitized to be Delta-safe</w:t>
      </w:r>
    </w:p>
    <w:p>
      <w:r>
        <w:t xml:space="preserve">(file headers lose </w:t>
      </w:r>
      <w:r>
        <w:rPr>
          <w:rFonts w:ascii="Consolas" w:hAnsi="Consolas"/>
          <w:color w:val="A31F34"/>
        </w:rPr>
        <w:t>:</w:t>
      </w:r>
      <w:r>
        <w:t xml:space="preserve"> </w:t>
      </w:r>
      <w:r>
        <w:rPr>
          <w:rFonts w:ascii="Consolas" w:hAnsi="Consolas"/>
          <w:color w:val="A31F34"/>
        </w:rPr>
        <w:t>-</w:t>
      </w:r>
      <w:r>
        <w:t xml:space="preserve"> spaces; silver snake-cases all), but the original header can be a *business</w:t>
      </w:r>
    </w:p>
    <w:p>
      <w:r>
        <w:t xml:space="preserve">value* you later </w:t>
      </w:r>
      <w:r>
        <w:rPr>
          <w:b/>
        </w:rPr>
        <w:t>unpivot</w:t>
      </w:r>
      <w:r>
        <w:t xml:space="preserve"> into a row. The framework records the original in the global </w:t>
      </w:r>
      <w:r>
        <w:rPr>
          <w:b/>
        </w:rPr>
        <w:t>`column_map`</w:t>
      </w:r>
    </w:p>
    <w:p>
      <w:r>
        <w:t xml:space="preserve">table for every column whose landed name changed (only changed columns — stored via </w:t>
      </w:r>
      <w:r>
        <w:rPr>
          <w:rFonts w:ascii="Consolas" w:hAnsi="Consolas"/>
          <w:color w:val="A31F34"/>
        </w:rPr>
        <w:t>record_column_map</w:t>
      </w:r>
      <w:r>
        <w:t>).</w:t>
      </w:r>
    </w:p>
    <w:p>
      <w:r>
        <w:t xml:space="preserve">The </w:t>
      </w:r>
      <w:r>
        <w:rPr>
          <w:b/>
        </w:rPr>
        <w:t>`file` connector</w:t>
      </w:r>
      <w:r>
        <w:t xml:space="preserve"> records file headers (incl. </w:t>
      </w:r>
      <w:r>
        <w:rPr>
          <w:rFonts w:ascii="Consolas" w:hAnsi="Consolas"/>
          <w:color w:val="A31F34"/>
        </w:rPr>
        <w:t>:</w:t>
      </w:r>
      <w:r>
        <w:t xml:space="preserve"> </w:t>
      </w:r>
      <w:r>
        <w:rPr>
          <w:rFonts w:ascii="Consolas" w:hAnsi="Consolas"/>
          <w:color w:val="A31F34"/>
        </w:rPr>
        <w:t>-</w:t>
      </w:r>
      <w:r>
        <w:t xml:space="preserve">); the </w:t>
      </w:r>
      <w:r>
        <w:rPr>
          <w:b/>
        </w:rPr>
        <w:t>silver worker</w:t>
      </w:r>
      <w:r>
        <w:t xml:space="preserve"> records `source →</w:t>
      </w:r>
    </w:p>
    <w:p>
      <w:r>
        <w:t>snake</w:t>
      </w:r>
      <w:r>
        <w:rPr>
          <w:rFonts w:ascii="Consolas" w:hAnsi="Consolas"/>
          <w:color w:val="A31F34"/>
        </w:rPr>
        <w:t xml:space="preserve"> renames for non-file sources; a gold </w:t>
      </w:r>
      <w:r>
        <w:t>sq_*` notebook restores the true header on unpivot. If two</w:t>
      </w:r>
    </w:p>
    <w:p>
      <w:r>
        <w:t>headers reduce to the same physical name (</w:t>
      </w:r>
      <w:r>
        <w:rPr>
          <w:rFonts w:ascii="Consolas" w:hAnsi="Consolas"/>
          <w:color w:val="A31F34"/>
        </w:rPr>
        <w:t>A2:2</w:t>
      </w:r>
      <w:r>
        <w:t xml:space="preserve"> + </w:t>
      </w:r>
      <w:r>
        <w:rPr>
          <w:rFonts w:ascii="Consolas" w:hAnsi="Consolas"/>
          <w:color w:val="A31F34"/>
        </w:rPr>
        <w:t>A2-2</w:t>
      </w:r>
      <w:r>
        <w:t xml:space="preserve"> → </w:t>
      </w:r>
      <w:r>
        <w:rPr>
          <w:rFonts w:ascii="Consolas" w:hAnsi="Consolas"/>
          <w:color w:val="A31F34"/>
        </w:rPr>
        <w:t>a2_2</w:t>
      </w:r>
      <w:r>
        <w:t xml:space="preserve">), </w:t>
      </w:r>
      <w:r>
        <w:rPr>
          <w:rFonts w:ascii="Consolas" w:hAnsi="Consolas"/>
          <w:color w:val="A31F34"/>
        </w:rPr>
        <w:t>naming.unique_names</w:t>
      </w:r>
      <w:r>
        <w:t xml:space="preserve"> de-duplicates</w:t>
      </w:r>
    </w:p>
    <w:p>
      <w:r>
        <w:t>deterministically (</w:t>
      </w:r>
      <w:r>
        <w:rPr>
          <w:rFonts w:ascii="Consolas" w:hAnsi="Consolas"/>
          <w:color w:val="A31F34"/>
        </w:rPr>
        <w:t>a2_2</w:t>
      </w:r>
      <w:r>
        <w:t xml:space="preserve">, </w:t>
      </w:r>
      <w:r>
        <w:rPr>
          <w:rFonts w:ascii="Consolas" w:hAnsi="Consolas"/>
          <w:color w:val="A31F34"/>
        </w:rPr>
        <w:t>a2_2_2</w:t>
      </w:r>
      <w:r>
        <w:t>) — so both columns survive (Delta rejects duplicates) and each</w:t>
      </w:r>
    </w:p>
    <w:p>
      <w:r>
        <w:t xml:space="preserve">original is recoverable. See </w:t>
      </w:r>
      <w:r>
        <w:rPr>
          <w:rFonts w:ascii="Consolas" w:hAnsi="Consolas"/>
          <w:color w:val="A31F34"/>
        </w:rPr>
        <w:t>WORKING_GUIDE.md</w:t>
      </w:r>
      <w:r>
        <w:t xml:space="preserve"> §5.</w:t>
      </w:r>
    </w:p>
    <w:p>
      <w:pPr>
        <w:pStyle w:val="Heading2"/>
      </w:pPr>
      <w:r/>
      <w:r>
        <w:t>9.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