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BC Pension Corporation — Fabric Delivery Guide</w:t>
      </w:r>
    </w:p>
    <w:p>
      <w:r>
        <w:rPr>
          <w:b/>
        </w:rPr>
        <w:t>What this is.</w:t>
      </w:r>
      <w:r>
        <w:t xml:space="preserve"> A plain-language companion to the milestone plan. For every item in the three</w:t>
      </w:r>
    </w:p>
    <w:p>
      <w:r>
        <w:t xml:space="preserve">milestones it answers two questions: </w:t>
      </w:r>
      <w:r>
        <w:rPr>
          <w:b/>
        </w:rPr>
        <w:t>what it means in Microsoft Fabric</w:t>
      </w:r>
      <w:r>
        <w:t xml:space="preserve"> (concept, not deep tech)</w:t>
      </w:r>
    </w:p>
    <w:p>
      <w:r>
        <w:t xml:space="preserve">and </w:t>
      </w:r>
      <w:r>
        <w:rPr>
          <w:b/>
        </w:rPr>
        <w:t>how we control it</w:t>
      </w:r>
      <w:r>
        <w:t xml:space="preserve"> — either because our Fabric </w:t>
      </w:r>
      <w:r>
        <w:rPr>
          <w:b/>
        </w:rPr>
        <w:t>platform</w:t>
      </w:r>
      <w:r>
        <w:t xml:space="preserve"> already handles it, or because we</w:t>
      </w:r>
    </w:p>
    <w:p>
      <w:r>
        <w:t xml:space="preserve">recommend a </w:t>
      </w:r>
      <w:r>
        <w:rPr>
          <w:b/>
        </w:rPr>
        <w:t>standard</w:t>
      </w:r>
      <w:r>
        <w:t xml:space="preserve"> for BCPC to adopt.</w:t>
      </w:r>
    </w:p>
    <w:p>
      <w:r>
        <w:rPr>
          <w:b/>
        </w:rPr>
        <w:t>Audience.</w:t>
      </w:r>
      <w:r>
        <w:t xml:space="preserve"> Anyone with a working familiarity of Fabric. We stay at the "what and how we manage</w:t>
      </w:r>
    </w:p>
    <w:p>
      <w:r>
        <w:t>it" level and avoid implementation detail.</w:t>
      </w:r>
    </w:p>
    <w:p>
      <w:r>
        <w:rPr>
          <w:b/>
        </w:rPr>
        <w:t>How to read each item.</w:t>
      </w:r>
      <w:r>
        <w:t xml:space="preserve"> Every item below carries one tag:</w:t>
      </w:r>
    </w:p>
    <w:p>
      <w:pPr>
        <w:pStyle w:val="ListBullet"/>
        <w:ind w:left="360"/>
      </w:pPr>
      <w:r>
        <w:rPr>
          <w:b/>
        </w:rPr>
        <w:t>Platform</w:t>
      </w:r>
      <w:r>
        <w:t xml:space="preserve"> — already implemented in our Fabric control plane (our config-as-code framework does it).</w:t>
      </w:r>
    </w:p>
    <w:p>
      <w:pPr>
        <w:pStyle w:val="ListBullet"/>
        <w:ind w:left="360"/>
      </w:pPr>
      <w:r>
        <w:rPr>
          <w:b/>
        </w:rPr>
        <w:t>Standard</w:t>
      </w:r>
      <w:r>
        <w:t xml:space="preserve"> — a governance/operating standard we recommend BCPC adopt (a policy or decision, not code).</w:t>
      </w:r>
    </w:p>
    <w:p>
      <w:pPr>
        <w:pStyle w:val="ListBullet"/>
        <w:ind w:left="360"/>
      </w:pPr>
      <w:r>
        <w:rPr>
          <w:b/>
        </w:rPr>
        <w:t>Both</w:t>
      </w:r>
      <w:r>
        <w:t xml:space="preserve"> — the platform provides the mechanism; a standard sets the policy on top of it.</w:t>
      </w:r>
    </w:p>
    <w:p>
      <w:r>
        <w:t xml:space="preserve">&gt; Our </w:t>
      </w:r>
      <w:r>
        <w:rPr>
          <w:b/>
        </w:rPr>
        <w:t>control plane</w:t>
      </w:r>
      <w:r>
        <w:t xml:space="preserve"> is the config-as-code framework we built on Fabric: you declare *what* to</w:t>
      </w:r>
    </w:p>
    <w:p>
      <w:r>
        <w:t>&gt; load and *how* to govern it as configuration, and the framework connects, ingests, cleanses,</w:t>
      </w:r>
    </w:p>
    <w:p>
      <w:r>
        <w:t>&gt; quality-checks, models, and secures the data across DEV / UAT / PROD. Wherever an item says</w:t>
      </w:r>
    </w:p>
    <w:p>
      <w:r>
        <w:t xml:space="preserve">&gt; </w:t>
      </w:r>
      <w:r>
        <w:rPr>
          <w:b/>
        </w:rPr>
        <w:t>Platform</w:t>
      </w:r>
      <w:r>
        <w:t>, this is what's doing the work.</w:t>
      </w:r>
    </w:p>
    <w:p>
      <w:pPr>
        <w:pStyle w:val="Heading3"/>
      </w:pPr>
      <w:r/>
      <w:r>
        <w:t>The three milestones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31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31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*Foundation first (the platform everything runs on), then get data in and managed, then turn it</w:t>
      </w:r>
    </w:p>
    <w:p>
      <w:r>
        <w:t>into governed analytics.*</w:t>
      </w:r>
    </w:p>
    <w:p>
      <w:pPr>
        <w:pStyle w:val="Heading2"/>
      </w:pPr>
      <w:r/>
      <w:r>
        <w:t>Milestone 1 — Fabric Platform Foundation</w:t>
      </w:r>
    </w:p>
    <w:p>
      <w:r>
        <w:rPr>
          <w:b/>
        </w:rPr>
        <w:t>Goal:</w:t>
      </w:r>
      <w:r>
        <w:t xml:space="preserve"> stand up the infrastructure, governance, security, architecture, and operating framework</w:t>
      </w:r>
    </w:p>
    <w:p>
      <w:r>
        <w:t>that everything else runs on.</w:t>
      </w:r>
    </w:p>
    <w:p>
      <w:pPr>
        <w:pStyle w:val="Heading3"/>
      </w:pPr>
      <w:r/>
      <w:r>
        <w:t>How the platform fits together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1534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5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*Everything sits on a </w:t>
      </w:r>
      <w:r>
        <w:rPr>
          <w:b/>
        </w:rPr>
        <w:t>Capacity</w:t>
      </w:r>
      <w:r>
        <w:t xml:space="preserve">, is organized into </w:t>
      </w:r>
      <w:r>
        <w:rPr>
          <w:b/>
        </w:rPr>
        <w:t>Workspaces / Domains</w:t>
      </w:r>
      <w:r>
        <w:t>, and flows through</w:t>
      </w:r>
    </w:p>
    <w:p>
      <w:r>
        <w:t xml:space="preserve">the </w:t>
      </w:r>
      <w:r>
        <w:rPr>
          <w:b/>
        </w:rPr>
        <w:t>medallion</w:t>
      </w:r>
      <w:r>
        <w:t xml:space="preserve"> to reports — with </w:t>
      </w:r>
      <w:r>
        <w:rPr>
          <w:b/>
        </w:rPr>
        <w:t>security and governance</w:t>
      </w:r>
      <w:r>
        <w:t xml:space="preserve"> applied across every layer. The</w:t>
      </w:r>
    </w:p>
    <w:p>
      <w:r>
        <w:t>items below are the pieces of this picture.*</w:t>
      </w:r>
    </w:p>
    <w:p>
      <w:pPr>
        <w:pStyle w:val="Heading3"/>
      </w:pPr>
      <w:r/>
      <w:r>
        <w:t>Establish Fabric Infrastructure Foundation</w:t>
      </w:r>
    </w:p>
    <w:p>
      <w:r>
        <w:t>*The physical footing: the compute we buy, the network path to our data, and the replication options.*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Provision Fabric Capacity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compute + storage tier (an F-SKU) that powers every workspace, pipeline, and report in the tenant.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Size an F-SKU to the workload and assign it to the project workspaces; our provisioning script then stands up everything that runs on it, identically per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Configure Capacity Administration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admin controls for that capacity — who manages it, feature switches, workload limits, surge protection.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named capacity-admin group manages it in the Admin portal; we recommend surge-protection and throttling guardrails so one workload can't starve others.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Deploy Fabric Data Gateway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Software that lets Fabric reach data behind a private network (on-prem or private OCI/Azure).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ingestion routes private sources through the gateway; we've documented the gateway architecture, including reusing the </w:t>
            </w:r>
            <w:r>
              <w:rPr>
                <w:b/>
                <w:sz w:val="18"/>
              </w:rPr>
              <w:t>existing VNet gateway</w:t>
            </w:r>
            <w:r>
              <w:rPr>
                <w:sz w:val="18"/>
              </w:rPr>
              <w:t xml:space="preserve"> vs standing up a dedicated one.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Gateway Connectivity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Fabric can actually reach a source through the gateway.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"test connection" per source before onboarding, plus a documented checklist (firewall, DNS, service account).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Review Gateway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Choosing gateway type and network path (VNet data gateway vs on-premises data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We produced the private-OCI architecture diagrams — the framework path reusing the VNet gateway, and the mirroring path requiring a dedicated on-prem gateway.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SQL MI Mirroring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near-real-time mirroring works for Azure SQL Managed Instance.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is Microsoft-managed; we've mapped how a mirrored database feeds our Silver/Gold and recommend it for specific near-real-time tables.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Assess Oracle Mirroring Feasibility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Whether Oracle mirroring fits BCPC (prerequisites, limits, cost, promotion).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Delivered as our *Bronze vs Mirroring* analysis — GA status, the invasive prerequisites, coverage limits, gateway needs, and a clear recommendation.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Document Infrastructure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written, shared picture of the platform's infrastructure.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The architecture diagrams and this guide are that documentation, kept in the repo alongside the code.</w:t>
            </w:r>
          </w:p>
        </w:tc>
      </w:tr>
    </w:tbl>
    <w:p/>
    <w:p>
      <w:pPr>
        <w:pStyle w:val="Heading3"/>
      </w:pPr>
      <w:r/>
      <w:r>
        <w:t>Establish Fabric Platform Foundation</w:t>
      </w:r>
    </w:p>
    <w:p>
      <w:r>
        <w:t>*The logical structure: workspaces, domains, and the lakehouses where data lives — plus the reusable patterns that make new work fast.*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Initial Fabric Workspaces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Workspaces are the containers that hold items (lakehouses, pipelines, reports) and carry access + capacity.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Our provisioning script creates the workspaces per environment; nothing is hand-clicked.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you divide work into workspaces (by environment, domain, project, or product).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We recommend an environment split (DEV / UAT / PROD) with domain-aligned workspaces inside, so promotion and access stay clean.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Domain Alignment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Fabric </w:t>
            </w:r>
            <w:r>
              <w:rPr>
                <w:b/>
                <w:sz w:val="18"/>
              </w:rPr>
              <w:t>domains</w:t>
            </w:r>
            <w:r>
              <w:rPr>
                <w:sz w:val="18"/>
              </w:rPr>
              <w:t xml:space="preserve"> group workspaces by business area for ownership and discovery.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Map domains to BCPC business areas (e.g. Pensions, Employer, Member) so ownership and data discovery follow the org.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Initial Lakehouses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Lakehouses are the storage+table layer in OneLake where data lands and is modelled.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The framework creates the schema-enabled lakehouses (metadata, bronze, silver, gold, file-drop) as declared config.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Organization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Naming and layout of lakehouses, schemas, and tables.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Enforced by convention: schema-enabled lakehouses, medallion layers, and a single naming rule (</w:t>
            </w:r>
            <w:r>
              <w:rPr>
                <w:rFonts w:ascii="Consolas" w:hAnsi="Consolas"/>
                <w:color w:val="A31F34"/>
                <w:sz w:val="18"/>
              </w:rPr>
              <w:t>schema.table</w:t>
            </w:r>
            <w:r>
              <w:rPr>
                <w:sz w:val="18"/>
              </w:rPr>
              <w:t>), all driven from config.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Public Dataset Reference Solution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pattern for bringing external/open reference data into the platform.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Demonstrated end-to-end with a Statistics Canada open-data feed loaded through our generic HTTP connector to Silver.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Auto-Ingestion Framework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Proving that data can be onboarded by configuration rather than bespoke code.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This is the core of the control plane — plus an event-driven "drop a file, it loads itself" intake — validated on real data.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Establish Reusable Platform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Turning one-off solutions into repeatable building blocks.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One registry of connectors, config-as-code onboarding, and a packaged engine mean a new source is *configuration*, not new code.</w:t>
            </w:r>
          </w:p>
        </w:tc>
      </w:tr>
    </w:tbl>
    <w:p/>
    <w:p>
      <w:pPr>
        <w:pStyle w:val="Heading3"/>
      </w:pPr>
      <w:r/>
      <w:r>
        <w:t>Define Fabric Platform Governance</w:t>
      </w:r>
    </w:p>
    <w:p>
      <w:r>
        <w:t>*Who runs the platform and by what process — ownership, capacity, onboarding, and endorsement.*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585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58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*The operating model in one picture: a central </w:t>
      </w:r>
      <w:r>
        <w:rPr>
          <w:b/>
        </w:rPr>
        <w:t>Platform Owner</w:t>
      </w:r>
      <w:r>
        <w:t xml:space="preserve"> sets standards and runs capacity;</w:t>
      </w:r>
    </w:p>
    <w:p>
      <w:r>
        <w:rPr>
          <w:b/>
        </w:rPr>
        <w:t>Domain Owners</w:t>
      </w:r>
      <w:r>
        <w:t xml:space="preserve"> own their business area's data, supported by </w:t>
      </w:r>
      <w:r>
        <w:rPr>
          <w:b/>
        </w:rPr>
        <w:t>Stewards</w:t>
      </w:r>
      <w:r>
        <w:t xml:space="preserve"> and **Data Product</w:t>
      </w:r>
    </w:p>
    <w:p>
      <w:r>
        <w:t>Owners**.*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Platform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Who owns the Fabric platform overall (the "landlord" of capacity, admin settings, standards).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platform-owner role (small central team) accountable for capacity, tenant/admin settings, and the standards in this guide.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Creation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new workspaces get requested, approved, and created consistently.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 request→approve step feeding our provisioning script, so every workspace is created to standard (naming, access, capacity) rather than ad hoc.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Ownership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Who owns each workspace and is accountable for its contents.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Each workspace has a named owner (domain-aligned) responsible for access reviews and its data products.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Capacity Governance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capacity is monitored, allocated, and protected from overload.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Monitor via the Capacity Metrics app; set throttling/surge guardrails; a defined path to scale or rebalance workloads.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Platform Administration Responsibilities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concrete duties of the admins (tenant settings, gateways, updates, incidents).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responsibilities matrix (RACI) covering tenant settings, gateway upkeep, capacity, and release management.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Monitoring and Support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platform health and issues are watched and resolved.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 monitoring + our run/audit logs feed a defined support model (who watches what, escalation path).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Onboarding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repeatable path for a new team, source, or data product to join the platform.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 checklist that ends in config-as-code entries + our discovery step, so onboarding a source is guided and consistent.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Endorsement and Certification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Fabric's </w:t>
            </w:r>
            <w:r>
              <w:rPr>
                <w:b/>
                <w:sz w:val="18"/>
              </w:rPr>
              <w:t>Promoted / Certified</w:t>
            </w:r>
            <w:r>
              <w:rPr>
                <w:sz w:val="18"/>
              </w:rPr>
              <w:t xml:space="preserve"> labels that signal trustworthy, official items.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Define who can certify, the criteria (owner, quality, documentation), and reserve "Certified" for governed Gold data products.</w:t>
            </w:r>
          </w:p>
        </w:tc>
      </w:tr>
    </w:tbl>
    <w:p/>
    <w:p>
      <w:pPr>
        <w:pStyle w:val="Heading3"/>
      </w:pPr>
      <w:r/>
      <w:r>
        <w:t>Define Fabric Data Governance Framework</w:t>
      </w:r>
    </w:p>
    <w:p>
      <w:r>
        <w:t>*Who owns the data and how its quality, meaning, lineage, and lifecycle are managed.*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Domain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Which business area owns which data.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Data domains map to business areas with a named domain owner accountable for the data within.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Steward Responsibilities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people who curate meaning, quality, and access for a data area.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steward role per domain — owns definitions, quality rules, and access decisions for their data.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Product Ownership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Treating governed datasets as "products" with an owner and consumers.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Gold outputs are the data products; each has an owner, a documented purpose, and a consumer contract.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Metadata Management 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we capture what data exists, its schema, and its meaning.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The platform captures technical metadata (sources, schemas, drift, run history) in config + audit tables; the OneLake catalog + a business glossary standard add business meaning.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Quality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rules that decide whether data is fit to use.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Declarative quality rules (not-null, ranges, allowed values, expressions) run on the way to Silver, with failing rows quarantined off the clean layer.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Lineage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Being able to trace where data came from and what it feeds.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Fabric's built-in lineage view across items, plus our audit tables that record every source→bronze→silver→gold run.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Lifecycle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Retention, history, and archival of data over time.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Bronze is an append-only history (audit trail); Silver/Gold hold current + modelled history (slowly-changing dimensions); a retention standard sets how long each is kept.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Sharing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data is shared across teams without copying it.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Prefer OneLake shortcuts / sharing over copies, governed by access model + certification, so there's one trusted copy.</w:t>
            </w:r>
          </w:p>
        </w:tc>
      </w:tr>
    </w:tbl>
    <w:p/>
    <w:p>
      <w:pPr>
        <w:pStyle w:val="Heading3"/>
      </w:pPr>
      <w:r/>
      <w:r>
        <w:t>Define Fabric Security Framework</w:t>
      </w:r>
    </w:p>
    <w:p>
      <w:r>
        <w:t>*Who can see what — from workspace down to the row and column.*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140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140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*Access narrows as you go down: from broad workspace roles to specific tables, then to individual</w:t>
      </w:r>
    </w:p>
    <w:p>
      <w:r>
        <w:t xml:space="preserve">rows and columns, then masked values — all granted through </w:t>
      </w:r>
      <w:r>
        <w:rPr>
          <w:b/>
        </w:rPr>
        <w:t>Entra groups</w:t>
      </w:r>
      <w:r>
        <w:t xml:space="preserve"> and recorded in</w:t>
      </w:r>
    </w:p>
    <w:p>
      <w:r>
        <w:rPr>
          <w:b/>
        </w:rPr>
        <w:t>audit</w:t>
      </w:r>
      <w:r>
        <w:t>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Entra Security Group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Using Microsoft Entra ID groups (not individuals) to grant access.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Access is granted to Entra groups; our security config references those groups so membership — not per-person edits — drives access.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Access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workspace roles (Admin / Member / Contributor / Viewer) that set broad access.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least-privilege role mapping per workspace, assigned to Entra groups and reviewed on a cadence.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Access 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Fine-grained access to tables/columns/rows within a lakehouse.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Applied from config as OneLake column-level and row-level security — sensitive columns and restricted rows are enforced consistently per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Row-Level Security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Restricting which </w:t>
            </w:r>
            <w:r>
              <w:rPr>
                <w:b/>
                <w:sz w:val="18"/>
              </w:rPr>
              <w:t>rows</w:t>
            </w:r>
            <w:r>
              <w:rPr>
                <w:sz w:val="18"/>
              </w:rPr>
              <w:t xml:space="preserve"> a user can see (e.g. by region or plan).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Row filters declared in config and applied by the framework, so the same rule ships to every environment.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Masking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Hiding or obscuring sensitive values (e.g. SIN, salary).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Dynamic masking at the query layer plus static masking during processing — sensitive columns can be masked, or never land in raw form at all.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Audit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Recording who did what, and what the pipeline did.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Fabric's tenant audit logs for user activity, plus our run/quality/drift audit tables for the data pipeline itself.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Compliance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Meeting BCPC's regulatory and privacy obligations.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Map controls (access, masking, audit, residency) to the applicable obligations; the platform's security + audit features provide the evidence.</w:t>
            </w:r>
          </w:p>
        </w:tc>
      </w:tr>
    </w:tbl>
    <w:p/>
    <w:p>
      <w:pPr>
        <w:pStyle w:val="Heading3"/>
      </w:pPr>
      <w:r/>
      <w:r>
        <w:t>Define Fabric Architecture Standards</w:t>
      </w:r>
    </w:p>
    <w:p>
      <w:r>
        <w:t>*The blueprint everyone builds to — layers, storage choice, and how data is brought in and shaped.*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108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1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*The </w:t>
      </w:r>
      <w:r>
        <w:rPr>
          <w:b/>
        </w:rPr>
        <w:t>medallion</w:t>
      </w:r>
      <w:r>
        <w:t xml:space="preserve"> in one line: raw in Bronze, cleaned and governed in Silver, business-ready in</w:t>
      </w:r>
    </w:p>
    <w:p>
      <w:r>
        <w:t>Gold. Each item below is a rule for one part of this flow.*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Bronze / Silver / Gold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medallion pattern: raw → cleaned/conformed → business-ready.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This is the spine of the control plane — Bronze (raw, append-only), Silver (deduped, quality-checked, masked), Gold (modelled star schema).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Lakehouse vs Warehouse Guidance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When to use a Lakehouse (files+tables, Spark) vs a Warehouse (T-SQL).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Default to Lakehouse for the medallion (what we've built); reach for a Warehouse only where a pure T-SQL surface is required — with the trade-offs documented.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Ingestion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approved ways data comes in (batch pull, event/file drop, mirroring,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One connector registry covers databases, APIs, files (event-driven drop), and gateway-staged on-prem; mirroring is the managed option for near-real-time.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Transformation Patterns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approved ways data is cleaned and modelled.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Config-driven cleanse + quality rules into Silver, and SQL-based transforms into a Gold star schema with slowly-changing-dimension history.</w:t>
            </w:r>
          </w:p>
        </w:tc>
      </w:tr>
    </w:tbl>
    <w:p/>
    <w:p>
      <w:pPr>
        <w:pStyle w:val="Heading2"/>
      </w:pPr>
      <w:r/>
      <w:r>
        <w:t>Milestone 2 — Data Integration Foundation</w:t>
      </w:r>
    </w:p>
    <w:p>
      <w:r>
        <w:rPr>
          <w:b/>
        </w:rPr>
        <w:t>Goal:</w:t>
      </w:r>
      <w:r>
        <w:t xml:space="preserve"> prove BCPC can onboard, move, transform, and manage enterprise data in Fabric.</w:t>
      </w:r>
    </w:p>
    <w:p>
      <w:pPr>
        <w:pStyle w:val="Heading3"/>
      </w:pPr>
      <w:r/>
      <w:r>
        <w:t>Implement SQL Managed Instance Integration</w:t>
      </w:r>
    </w:p>
    <w:p>
      <w:r>
        <w:t>*Bring an Azure SQL Managed Instance in via mirroring and prove it stays fresh.*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Mirroring Configuration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Setting up and confirming a mirrored SQL MI database in Fabric.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is Microsoft-managed; we validate the setup and confirm the replica lands in OneLake ready for Silver/Gold.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Incremental Data Synchronization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ongoing changes flow through continuously (not just the first load).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Mirroring streams changes automatically; we verify inserts/updates/deletes propagate and reconcile against expectations.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Operational Procedures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run-book for keeping mirroring healthy (start/stop, re-seed, monitor).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documented procedure for monitoring replication state, handling re-seeds, and responding to pauses.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Measure Refresh 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fresh the mirrored data is (latency) and its load impact.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Baseline latency and resource use, with thresholds that tell us when to tune or scale.</w:t>
            </w:r>
          </w:p>
        </w:tc>
      </w:tr>
    </w:tbl>
    <w:p/>
    <w:p>
      <w:pPr>
        <w:pStyle w:val="Heading3"/>
      </w:pPr>
      <w:r/>
      <w:r>
        <w:t>Implement Oracle Integration</w:t>
      </w:r>
    </w:p>
    <w:p>
      <w:r>
        <w:t>*Determine how BCPC's Oracle data comes in — and the trade-offs.*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Connectivity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Fabric can reach the Oracle database (through the gateway).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Oracle connector reaches the source via the gateway; a connection test confirms the path before onboarding.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Assess Supplemental Logging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Oracle change-data-capture needs supplemental logging enabled — an invasive DBA change.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Documented precisely in our analysis (database- and table-level logging), so BCPC's DBAs know exactly what mirroring would require.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Review LogMiner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Mirroring reads Oracle's redo logs via LogMiner, which has prerequisites and limits.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Captured in the analysis — LogMiner prerequisites, the broad grants required, and the read-write-source constraint.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Document Limitations and Recommendations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clear statement of what works, what doesn't, and the recommended approach.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Delivered as the *Bronze vs Mirroring* recommendation: framework-based ingestion by default, mirroring selectively for near-real-time tables.</w:t>
            </w:r>
          </w:p>
        </w:tc>
      </w:tr>
    </w:tbl>
    <w:p/>
    <w:p>
      <w:pPr>
        <w:pStyle w:val="Heading3"/>
      </w:pPr>
      <w:r/>
      <w:r>
        <w:t>Establish Data Ingestion Framework</w:t>
      </w:r>
    </w:p>
    <w:p>
      <w:r>
        <w:t>*Make ingestion standard, reusable, monitored, and resilient.*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39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3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*Many source types, </w:t>
      </w:r>
      <w:r>
        <w:rPr>
          <w:b/>
        </w:rPr>
        <w:t>one config-driven connector registry</w:t>
      </w:r>
      <w:r>
        <w:t>, one landing pattern. Mirroring is the</w:t>
      </w:r>
    </w:p>
    <w:p>
      <w:r>
        <w:t>managed option that lands straight in Bronze for near-real-time needs.*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Ingestion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consistent way every source is onboarded and lands.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Every source is a config entry (connection, keys, load type); the framework applies the same landing, history, and naming rules to all.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Create Reusable Ingestion Templates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Templates so a new source doesn't start from scratch.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Adding a source is filling in config; adding a *new kind* of source is dropping one connector file — both are templated, not bespoke.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Monitoring and Alerting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Knowing when a load runs, succeeds, or fails.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Every run is logged to audit tables with status and row counts; failures are captured for alerting, wired into the support model.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Implement Error Handling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Predictable behaviour when something goes wrong.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Failures are isolated per source (one bad file/source doesn't stop the rest), captured with detail, and safe to re-run (idempotent).</w:t>
            </w:r>
          </w:p>
        </w:tc>
      </w:tr>
    </w:tbl>
    <w:p/>
    <w:p>
      <w:pPr>
        <w:pStyle w:val="Heading3"/>
      </w:pPr>
      <w:r/>
      <w:r>
        <w:t>Establish Data Product Standards</w:t>
      </w:r>
    </w:p>
    <w:p>
      <w:r>
        <w:t>*Turn governed datasets into managed, published, certified products.*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319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31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*A </w:t>
      </w:r>
      <w:r>
        <w:rPr>
          <w:b/>
        </w:rPr>
        <w:t>data product</w:t>
      </w:r>
      <w:r>
        <w:t xml:space="preserve"> (a governed Gold dataset) moves through a defined lifecycle with an accountable</w:t>
      </w:r>
    </w:p>
    <w:p>
      <w:r>
        <w:t>owner at every stage.*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Data Product Lifecycle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stages a data product moves through (draft → published → certified → retired).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defined lifecycle with entry/exit criteria at each stage, owned by the data product owner.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Publication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What "published and ready to consume" means.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publication checklist — owner, documentation, quality passing, access set — before a Gold product is announced.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Ownership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product has a clear, accountable owner.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Named owner per data product, recorded and visible, responsible for quality and consumer support.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Certification Process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Using Fabric endorsement to mark trusted, official products.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Only reviewed Gold products earn "Certified"; the process defines reviewer, criteria, and re-review cadence.</w:t>
            </w:r>
          </w:p>
        </w:tc>
      </w:tr>
    </w:tbl>
    <w:p/>
    <w:p>
      <w:pPr>
        <w:pStyle w:val="Heading2"/>
      </w:pPr>
      <w:r/>
      <w:r>
        <w:t>Milestone 3 — Analytics &amp; Reporting Foundation</w:t>
      </w:r>
    </w:p>
    <w:p>
      <w:r>
        <w:rPr>
          <w:b/>
        </w:rPr>
        <w:t>Goal:</w:t>
      </w:r>
      <w:r>
        <w:t xml:space="preserve"> demonstrate end-to-end analytics on Fabric — from modelled data to governed reports.</w:t>
      </w:r>
    </w:p>
    <w:p>
      <w:pPr>
        <w:pStyle w:val="Heading3"/>
      </w:pPr>
      <w:r/>
      <w:r>
        <w:t>From Gold to a governed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178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17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*Reports read the </w:t>
      </w:r>
      <w:r>
        <w:rPr>
          <w:b/>
        </w:rPr>
        <w:t>Gold</w:t>
      </w:r>
      <w:r>
        <w:t xml:space="preserve"> model live (Direct Lake — no data copy), through a **shared semantic</w:t>
      </w:r>
    </w:p>
    <w:p>
      <w:r>
        <w:t>model</w:t>
      </w:r>
      <w:r>
        <w:rPr>
          <w:b/>
        </w:rPr>
        <w:t xml:space="preserve">, with </w:t>
      </w:r>
      <w:r>
        <w:t>security enforced end-to-end**. The items below govern each hop.*</w:t>
      </w:r>
    </w:p>
    <w:p>
      <w:pPr>
        <w:pStyle w:val="Heading3"/>
      </w:pPr>
      <w:r/>
      <w:r>
        <w:t>Establish Semantic Model Standards</w:t>
      </w:r>
    </w:p>
    <w:p>
      <w:r>
        <w:t>*The shared business model that reports sit on.*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Semantic Model Architecture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reusable model (measures, relationships) between Gold data and reports — ideally Direct Lake.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Our Gold star schema is built to be Direct-Lake-ready; the standard defines shared models over Gold rather than per-report copies.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Naming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Consistent, business-friendly names for tables, measures, and fields.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A naming convention (business terms, consistent casing) so models read the same across teams.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Reuse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Sharing one certified model instead of rebuilding per report.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One governed semantic model per subject area, reused by many reports; discourage private duplicates.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Certification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Marking the trusted, official semantic models.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Certification criteria for models (owner, built on Gold, documented, quality-backed), aligned with the data-product process.</w:t>
            </w:r>
          </w:p>
        </w:tc>
      </w:tr>
    </w:tbl>
    <w:p/>
    <w:p>
      <w:pPr>
        <w:pStyle w:val="Heading3"/>
      </w:pPr>
      <w:r/>
      <w:r>
        <w:t>Establish Reporting Standards</w:t>
      </w:r>
    </w:p>
    <w:p>
      <w:r>
        <w:t>*How reports are governed, published, and consumed.*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Report Governance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Rules for how reports are built, reviewed, and trusted.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Reports build on certified semantic models, follow design/accessibility guidelines, and are reviewed before wide release.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Publishing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Where and how reports are released to audiences.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Publish through governed workspaces / apps with defined audiences, versioning, and a clear promotion path.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Define Workspace Consumption Standards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How consumers access reports vs where authors build them.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Separate build workspaces from consumption (apps/Viewer access), so consumers get a stable, curated experience.</w:t>
            </w:r>
          </w:p>
        </w:tc>
      </w:tr>
    </w:tbl>
    <w:p/>
    <w:p>
      <w:pPr>
        <w:pStyle w:val="Heading3"/>
      </w:pPr>
      <w:r/>
      <w:r>
        <w:t>Validate Power BI Integration</w:t>
      </w:r>
    </w:p>
    <w:p>
      <w:r>
        <w:t>*Prove the end-to-end path from Gold to a governed, secure report.*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means in Fabric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we control 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Semantic Model Integration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Power BI reads the Gold model efficiently (Direct Lake, no data copy).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Both.</w:t>
            </w:r>
            <w:r>
              <w:rPr>
                <w:sz w:val="18"/>
              </w:rPr>
              <w:t xml:space="preserve"> Gold is Direct-Lake-ready; we validate reports read it live without import refresh.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Security Integration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access rules (row/column security) carry through to reports.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Platform.</w:t>
            </w:r>
            <w:r>
              <w:rPr>
                <w:sz w:val="18"/>
              </w:rPr>
              <w:t xml:space="preserve"> Row- and column-level security applied at the lakehouse flows through to the model and report — one rule, enforced end-to-end.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Validate Workspace Strategy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Confirming the workspace/app layout works for real authoring and consumption.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Standard.</w:t>
            </w:r>
            <w:r>
              <w:rPr>
                <w:sz w:val="18"/>
              </w:rPr>
              <w:t xml:space="preserve"> Validate the build-vs-consume workspace split with a real report and audience before rolling out broadly.</w:t>
            </w:r>
          </w:p>
        </w:tc>
      </w:tr>
    </w:tbl>
    <w:p/>
    <w:p>
      <w:r>
        <w:t xml:space="preserve">*Companion documents:* the </w:t>
      </w:r>
      <w:r>
        <w:rPr>
          <w:b/>
        </w:rPr>
        <w:t>Bronze vs Mirroring</w:t>
      </w:r>
      <w:r>
        <w:t xml:space="preserve"> analysis (Oracle/SQL-MI ingestion trade-offs and</w:t>
      </w:r>
    </w:p>
    <w:p>
      <w:r>
        <w:t xml:space="preserve">recommendation), the </w:t>
      </w:r>
      <w:r>
        <w:rPr>
          <w:b/>
        </w:rPr>
        <w:t>private-OCI architecture diagrams</w:t>
      </w:r>
      <w:r>
        <w:t xml:space="preserve"> (framework and mirroring paths), and the</w:t>
      </w:r>
    </w:p>
    <w:p>
      <w:r>
        <w:t xml:space="preserve">control-plane </w:t>
      </w:r>
      <w:r>
        <w:rPr>
          <w:b/>
        </w:rPr>
        <w:t>engine + working guides</w:t>
      </w:r>
      <w:r>
        <w:t xml:space="preserve"> in the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