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pStyle w:val="Corp-Title"/>
      </w:pPr>
      <w:r>
        <w:t>P0905 Microsoft Fabric — Platform Direction</w:t>
      </w:r>
    </w:p>
    <w:tbl>
      <w:tblPr>
        <w:tblStyle w:val="InfoTable"/>
        <w:tblW w:type="auto" w:w="0"/>
        <w:tblLook w:firstColumn="1" w:firstRow="1" w:lastColumn="0" w:lastRow="0" w:noHBand="0" w:noVBand="1" w:val="04A0"/>
      </w:tblPr>
      <w:tblGrid>
        <w:gridCol w:w="4680"/>
        <w:gridCol w:w="4680"/>
      </w:tblGrid>
      <w:tr>
        <w:tc>
          <w:tcPr>
            <w:tcW w:type="dxa" w:w="2448"/>
          </w:tcPr>
          <w:p>
            <w:r/>
            <w:r>
              <w:rPr>
                <w:b/>
                <w:sz w:val="19"/>
              </w:rPr>
              <w:t>Title</w:t>
            </w:r>
          </w:p>
        </w:tc>
        <w:tc>
          <w:tcPr>
            <w:tcW w:type="dxa" w:w="6912"/>
          </w:tcPr>
          <w:p>
            <w:r/>
            <w:r>
              <w:rPr>
                <w:sz w:val="19"/>
              </w:rPr>
              <w:t>Microsoft Fabric — Platform Design (companion to the TAG design deck)</w:t>
            </w:r>
          </w:p>
        </w:tc>
      </w:tr>
      <w:tr>
        <w:tc>
          <w:tcPr>
            <w:tcW w:type="dxa" w:w="2448"/>
          </w:tcPr>
          <w:p>
            <w:r/>
            <w:r>
              <w:rPr>
                <w:b/>
                <w:sz w:val="19"/>
              </w:rPr>
              <w:t>Date Created</w:t>
            </w:r>
          </w:p>
        </w:tc>
        <w:tc>
          <w:tcPr>
            <w:tcW w:type="dxa" w:w="6912"/>
          </w:tcPr>
          <w:p>
            <w:r/>
            <w:r>
              <w:rPr>
                <w:sz w:val="19"/>
              </w:rPr>
              <w:t>August 4, 2026</w:t>
            </w:r>
          </w:p>
        </w:tc>
      </w:tr>
      <w:tr>
        <w:tc>
          <w:tcPr>
            <w:tcW w:type="dxa" w:w="2448"/>
          </w:tcPr>
          <w:p>
            <w:r/>
            <w:r>
              <w:rPr>
                <w:b/>
                <w:sz w:val="19"/>
              </w:rPr>
              <w:t>Updated On</w:t>
            </w:r>
          </w:p>
        </w:tc>
        <w:tc>
          <w:tcPr>
            <w:tcW w:type="dxa" w:w="6912"/>
          </w:tcPr>
          <w:p>
            <w:r/>
            <w:r>
              <w:rPr>
                <w:sz w:val="19"/>
              </w:rPr>
            </w:r>
          </w:p>
        </w:tc>
      </w:tr>
      <w:tr>
        <w:tc>
          <w:tcPr>
            <w:tcW w:type="dxa" w:w="2448"/>
          </w:tcPr>
          <w:p>
            <w:r/>
            <w:r>
              <w:rPr>
                <w:b/>
                <w:sz w:val="19"/>
              </w:rPr>
              <w:t>Updated by</w:t>
            </w:r>
          </w:p>
        </w:tc>
        <w:tc>
          <w:tcPr>
            <w:tcW w:type="dxa" w:w="6912"/>
          </w:tcPr>
          <w:p>
            <w:r/>
            <w:r>
              <w:rPr>
                <w:sz w:val="19"/>
              </w:rPr>
            </w:r>
          </w:p>
        </w:tc>
      </w:tr>
      <w:tr>
        <w:tc>
          <w:tcPr>
            <w:tcW w:type="dxa" w:w="2448"/>
          </w:tcPr>
          <w:p>
            <w:r/>
            <w:r>
              <w:rPr>
                <w:b/>
                <w:sz w:val="19"/>
              </w:rPr>
              <w:t>Created By</w:t>
            </w:r>
          </w:p>
        </w:tc>
        <w:tc>
          <w:tcPr>
            <w:tcW w:type="dxa" w:w="6912"/>
          </w:tcPr>
          <w:p>
            <w:r/>
            <w:r>
              <w:rPr>
                <w:sz w:val="19"/>
              </w:rPr>
            </w:r>
          </w:p>
        </w:tc>
      </w:tr>
      <w:tr>
        <w:tc>
          <w:tcPr>
            <w:tcW w:type="dxa" w:w="2448"/>
          </w:tcPr>
          <w:p>
            <w:r/>
            <w:r>
              <w:rPr>
                <w:b/>
                <w:sz w:val="19"/>
              </w:rPr>
              <w:t>DEPARTMENT</w:t>
            </w:r>
          </w:p>
        </w:tc>
        <w:tc>
          <w:tcPr>
            <w:tcW w:type="dxa" w:w="6912"/>
          </w:tcPr>
          <w:p>
            <w:r/>
            <w:r>
              <w:rPr>
                <w:sz w:val="19"/>
              </w:rPr>
              <w:t>IT Engineering</w:t>
            </w:r>
          </w:p>
        </w:tc>
      </w:tr>
      <w:tr>
        <w:tc>
          <w:tcPr>
            <w:tcW w:type="dxa" w:w="2448"/>
          </w:tcPr>
          <w:p>
            <w:r/>
            <w:r>
              <w:rPr>
                <w:b/>
                <w:sz w:val="19"/>
              </w:rPr>
              <w:t>Status</w:t>
            </w:r>
          </w:p>
        </w:tc>
        <w:tc>
          <w:tcPr>
            <w:tcW w:type="dxa" w:w="6912"/>
          </w:tcPr>
          <w:p>
            <w:r/>
            <w:r>
              <w:rPr>
                <w:sz w:val="19"/>
              </w:rPr>
              <w:t>Draft — for TAG design review</w:t>
            </w:r>
          </w:p>
        </w:tc>
      </w:tr>
    </w:tbl>
    <w:p/>
    <w:p>
      <w:pPr>
        <w:pStyle w:val="Heading1"/>
      </w:pPr>
      <w:r>
        <w:t>Purpose</w:t>
      </w:r>
    </w:p>
    <w:p>
      <w:pPr>
        <w:spacing w:after="120"/>
      </w:pPr>
      <w:r>
        <w:rPr>
          <w:b w:val="0"/>
          <w:i w:val="0"/>
          <w:sz w:val="21"/>
        </w:rPr>
        <w:t>This document accompanies the Fabric platform design deck for project P0905. It explains the proposed design in more depth than the deck allows, and records the design positions taken and the reasoning behind them.</w:t>
      </w:r>
    </w:p>
    <w:p>
      <w:pPr>
        <w:spacing w:after="120"/>
      </w:pPr>
      <w:r>
        <w:rPr>
          <w:b w:val="0"/>
          <w:i w:val="0"/>
          <w:sz w:val="21"/>
        </w:rPr>
        <w:t>It covers the concept and the logical model only: the architecture, the workspace and environment model, the identity and access model, the governance model, and how data reaches the platform. Physical implementation detail and sizing belong to detailed design and are not described here.</w:t>
      </w:r>
    </w:p>
    <w:p>
      <w:pPr>
        <w:spacing w:after="120"/>
      </w:pPr>
      <w:r>
        <w:rPr>
          <w:b w:val="0"/>
          <w:i w:val="0"/>
          <w:sz w:val="21"/>
        </w:rPr>
        <w:t>It is a companion to the existing MS Fabric Review Notes, which cover Fabric's product capabilities and Microsoft's published deployment patterns. The intent here is narrower — what BC Pension Corporation proposes to build, and how it would be secured, governed and operated.</w:t>
      </w:r>
    </w:p>
    <w:p>
      <w:pPr>
        <w:pStyle w:val="Heading1"/>
      </w:pPr>
      <w:r>
        <w:t>High-level architecture</w:t>
      </w:r>
    </w:p>
    <w:p>
      <w:pPr>
        <w:spacing w:after="120"/>
      </w:pPr>
      <w:r>
        <w:rPr>
          <w:b w:val="0"/>
          <w:i w:val="0"/>
          <w:sz w:val="21"/>
        </w:rPr>
        <w:t>Data reaches Fabric only over private connectivity. Inside Fabric it lands in OneLake and moves through a medallion progression — Bronze for raw, append-only history, Silver for cleansed and quality-checked data, Gold for the modelled star schema that reporting reads. Orchestration is carried out by Fabric data pipelines driving parameter-driven Spark notebooks; near-real-time sources can instead be replicated with Fabric Mirroring.</w:t>
      </w:r>
    </w:p>
    <w:p>
      <w:pPr>
        <w:jc w:val="center"/>
      </w:pPr>
      <w:r>
        <w:drawing>
          <wp:inline>
            <wp:extent cx="5943600" cy="2750024"/>
            <wp:docPr id="1" name="Picture 1"/>
            <wp:cNvGraphicFramePr>
              <a:graphicFrameLocks noChangeAspect="1"/>
            </wp:cNvGraphicFramePr>
            <a:graphic>
              <a:graphicData uri="http://schemas.openxmlformats.org/drawingml/2006/picture">
                <pic:pic>
                  <pic:nvPicPr>
                    <pic:cNvPr id="0" name="d1_architecture.png"/>
                    <pic:cNvPicPr/>
                  </pic:nvPicPr>
                  <pic:blipFill>
                    <a:blip r:embed="rId46"/>
                    <a:stretch>
                      <a:fillRect/>
                    </a:stretch>
                  </pic:blipFill>
                  <pic:spPr>
                    <a:xfrm>
                      <a:off x="0" y="0"/>
                      <a:ext cx="5943600" cy="2750024"/>
                    </a:xfrm>
                    <a:prstGeom prst="rect"/>
                  </pic:spPr>
                </pic:pic>
              </a:graphicData>
            </a:graphic>
          </wp:inline>
        </w:drawing>
      </w:r>
    </w:p>
    <w:p>
      <w:pPr>
        <w:spacing w:after="200"/>
        <w:jc w:val="center"/>
      </w:pPr>
      <w:r>
        <w:rPr>
          <w:b w:val="0"/>
          <w:i/>
          <w:color w:val="4D4D4F"/>
          <w:sz w:val="18"/>
        </w:rPr>
        <w:t>Figure 1 — Logical architecture. Sources reach Fabric through the VNet or on-premises data gateway; platform services apply to every environment.</w:t>
      </w:r>
    </w:p>
    <w:p>
      <w:pPr>
        <w:pStyle w:val="Heading2"/>
      </w:pPr>
      <w:r>
        <w:t>What is distinctive about this design</w:t>
      </w:r>
    </w:p>
    <w:p>
      <w:pPr>
        <w:pStyle w:val="ListParagraph"/>
        <w:spacing w:after="60"/>
        <w:ind w:left="432"/>
        <w:numPr>
          <w:ilvl w:val="0"/>
          <w:numId w:val="1"/>
        </w:numPr>
      </w:pPr>
      <w:r>
        <w:rPr>
          <w:b/>
          <w:sz w:val="21"/>
        </w:rPr>
        <w:t xml:space="preserve">Configuration, not code, per source — </w:t>
      </w:r>
      <w:r>
        <w:rPr>
          <w:sz w:val="21"/>
        </w:rPr>
        <w:t>sources, quality rules, models and security policies are declared as configuration held in git and promoted between environments. Onboarding a new source is a configuration change, which keeps the marginal effort per source small.</w:t>
      </w:r>
    </w:p>
    <w:p>
      <w:pPr>
        <w:pStyle w:val="ListParagraph"/>
        <w:spacing w:after="60"/>
        <w:ind w:left="432"/>
        <w:numPr>
          <w:ilvl w:val="0"/>
          <w:numId w:val="1"/>
        </w:numPr>
      </w:pPr>
      <w:r>
        <w:rPr>
          <w:b/>
          <w:sz w:val="21"/>
        </w:rPr>
        <w:t xml:space="preserve">One trusted copy — </w:t>
      </w:r>
      <w:r>
        <w:rPr>
          <w:sz w:val="21"/>
        </w:rPr>
        <w:t>OneLake holds a single copy of the data; the SQL endpoint and semantic models read the same storage rather than taking further copies.</w:t>
      </w:r>
    </w:p>
    <w:p>
      <w:pPr>
        <w:pStyle w:val="ListParagraph"/>
        <w:spacing w:after="60"/>
        <w:ind w:left="432"/>
        <w:numPr>
          <w:ilvl w:val="0"/>
          <w:numId w:val="1"/>
        </w:numPr>
      </w:pPr>
      <w:r>
        <w:rPr>
          <w:b/>
          <w:sz w:val="21"/>
        </w:rPr>
        <w:t xml:space="preserve">Security declared alongside the data — </w:t>
      </w:r>
      <w:r>
        <w:rPr>
          <w:sz w:val="21"/>
        </w:rPr>
        <w:t>row-level and column-level security and masking are part of the same configuration, applied per environment rather than hand-built.</w:t>
      </w:r>
    </w:p>
    <w:p>
      <w:pPr>
        <w:pStyle w:val="ListParagraph"/>
        <w:spacing w:after="60"/>
        <w:ind w:left="432"/>
        <w:numPr>
          <w:ilvl w:val="0"/>
          <w:numId w:val="1"/>
        </w:numPr>
      </w:pPr>
      <w:r>
        <w:rPr>
          <w:b/>
          <w:sz w:val="21"/>
        </w:rPr>
        <w:t xml:space="preserve">Auditable by construction — </w:t>
      </w:r>
      <w:r>
        <w:rPr>
          <w:sz w:val="21"/>
        </w:rPr>
        <w:t>every source-to-Gold run is recorded, alongside Fabric's own lineage view.</w:t>
      </w:r>
    </w:p>
    <w:p>
      <w:pPr>
        <w:pStyle w:val="Heading2"/>
      </w:pPr>
      <w:r>
        <w:t>Layer responsibilities</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1584"/>
            <w:shd w:fill="00778A"/>
          </w:tcPr>
          <w:p>
            <w:pPr>
              <w:spacing w:after="40"/>
            </w:pPr>
            <w:r/>
            <w:r>
              <w:rPr>
                <w:b/>
                <w:color w:val="FFFFFF"/>
                <w:sz w:val="19"/>
              </w:rPr>
              <w:t>Layer</w:t>
            </w:r>
          </w:p>
        </w:tc>
        <w:tc>
          <w:tcPr>
            <w:tcW w:type="dxa" w:w="4320"/>
            <w:shd w:fill="00778A"/>
          </w:tcPr>
          <w:p>
            <w:pPr>
              <w:spacing w:after="40"/>
            </w:pPr>
            <w:r/>
            <w:r>
              <w:rPr>
                <w:b/>
                <w:color w:val="FFFFFF"/>
                <w:sz w:val="19"/>
              </w:rPr>
              <w:t>Holds</w:t>
            </w:r>
          </w:p>
        </w:tc>
        <w:tc>
          <w:tcPr>
            <w:tcW w:type="dxa" w:w="3456"/>
            <w:shd w:fill="00778A"/>
          </w:tcPr>
          <w:p>
            <w:pPr>
              <w:spacing w:after="40"/>
            </w:pPr>
            <w:r/>
            <w:r>
              <w:rPr>
                <w:b/>
                <w:color w:val="FFFFFF"/>
                <w:sz w:val="19"/>
              </w:rPr>
              <w:t>Access posture</w:t>
            </w:r>
          </w:p>
        </w:tc>
      </w:tr>
      <w:tr>
        <w:tc>
          <w:tcPr>
            <w:tcW w:type="dxa" w:w="1584"/>
          </w:tcPr>
          <w:p>
            <w:pPr>
              <w:spacing w:after="40"/>
            </w:pPr>
            <w:r/>
            <w:r>
              <w:rPr>
                <w:b/>
                <w:sz w:val="19"/>
              </w:rPr>
              <w:t>Bronze</w:t>
            </w:r>
          </w:p>
        </w:tc>
        <w:tc>
          <w:tcPr>
            <w:tcW w:type="dxa" w:w="4320"/>
          </w:tcPr>
          <w:p>
            <w:pPr>
              <w:spacing w:after="40"/>
            </w:pPr>
            <w:r/>
            <w:r>
              <w:rPr>
                <w:sz w:val="19"/>
              </w:rPr>
              <w:t>Raw landed data, append-only, retaining source history.</w:t>
            </w:r>
          </w:p>
        </w:tc>
        <w:tc>
          <w:tcPr>
            <w:tcW w:type="dxa" w:w="3456"/>
          </w:tcPr>
          <w:p>
            <w:pPr>
              <w:spacing w:after="40"/>
            </w:pPr>
            <w:r/>
            <w:r>
              <w:rPr>
                <w:sz w:val="19"/>
              </w:rPr>
              <w:t>Platform and engineering only. Never exposed to report consumers.</w:t>
            </w:r>
          </w:p>
        </w:tc>
      </w:tr>
      <w:tr>
        <w:tc>
          <w:tcPr>
            <w:tcW w:type="dxa" w:w="1584"/>
          </w:tcPr>
          <w:p>
            <w:pPr>
              <w:spacing w:after="40"/>
            </w:pPr>
            <w:r/>
            <w:r>
              <w:rPr>
                <w:b/>
                <w:sz w:val="19"/>
              </w:rPr>
              <w:t>Silver</w:t>
            </w:r>
          </w:p>
        </w:tc>
        <w:tc>
          <w:tcPr>
            <w:tcW w:type="dxa" w:w="4320"/>
          </w:tcPr>
          <w:p>
            <w:pPr>
              <w:spacing w:after="40"/>
            </w:pPr>
            <w:r/>
            <w:r>
              <w:rPr>
                <w:sz w:val="19"/>
              </w:rPr>
              <w:t>Cleansed, de-duplicated and quality-checked data; failing rows quarantined.</w:t>
            </w:r>
          </w:p>
        </w:tc>
        <w:tc>
          <w:tcPr>
            <w:tcW w:type="dxa" w:w="3456"/>
          </w:tcPr>
          <w:p>
            <w:pPr>
              <w:spacing w:after="40"/>
            </w:pPr>
            <w:r/>
            <w:r>
              <w:rPr>
                <w:sz w:val="19"/>
              </w:rPr>
              <w:t>Engineering and stewards; masking applied as data lands.</w:t>
            </w:r>
          </w:p>
        </w:tc>
      </w:tr>
      <w:tr>
        <w:tc>
          <w:tcPr>
            <w:tcW w:type="dxa" w:w="1584"/>
          </w:tcPr>
          <w:p>
            <w:pPr>
              <w:spacing w:after="40"/>
            </w:pPr>
            <w:r/>
            <w:r>
              <w:rPr>
                <w:b/>
                <w:sz w:val="19"/>
              </w:rPr>
              <w:t>Gold</w:t>
            </w:r>
          </w:p>
        </w:tc>
        <w:tc>
          <w:tcPr>
            <w:tcW w:type="dxa" w:w="4320"/>
          </w:tcPr>
          <w:p>
            <w:pPr>
              <w:spacing w:after="40"/>
            </w:pPr>
            <w:r/>
            <w:r>
              <w:rPr>
                <w:sz w:val="19"/>
              </w:rPr>
              <w:t>Modelled star schema — the governed data products.</w:t>
            </w:r>
          </w:p>
        </w:tc>
        <w:tc>
          <w:tcPr>
            <w:tcW w:type="dxa" w:w="3456"/>
          </w:tcPr>
          <w:p>
            <w:pPr>
              <w:spacing w:after="40"/>
            </w:pPr>
            <w:r/>
            <w:r>
              <w:rPr>
                <w:sz w:val="19"/>
              </w:rPr>
              <w:t>The layer reporting reads, subject to row and column security.</w:t>
            </w:r>
          </w:p>
        </w:tc>
      </w:tr>
      <w:tr>
        <w:tc>
          <w:tcPr>
            <w:tcW w:type="dxa" w:w="1584"/>
          </w:tcPr>
          <w:p>
            <w:pPr>
              <w:spacing w:after="40"/>
            </w:pPr>
            <w:r/>
            <w:r>
              <w:rPr>
                <w:b/>
                <w:sz w:val="19"/>
              </w:rPr>
              <w:t>Serve</w:t>
            </w:r>
          </w:p>
        </w:tc>
        <w:tc>
          <w:tcPr>
            <w:tcW w:type="dxa" w:w="4320"/>
          </w:tcPr>
          <w:p>
            <w:pPr>
              <w:spacing w:after="40"/>
            </w:pPr>
            <w:r/>
            <w:r>
              <w:rPr>
                <w:sz w:val="19"/>
              </w:rPr>
              <w:t>Semantic models, Power BI reports and the SQL endpoint.</w:t>
            </w:r>
          </w:p>
        </w:tc>
        <w:tc>
          <w:tcPr>
            <w:tcW w:type="dxa" w:w="3456"/>
          </w:tcPr>
          <w:p>
            <w:pPr>
              <w:spacing w:after="40"/>
            </w:pPr>
            <w:r/>
            <w:r>
              <w:rPr>
                <w:sz w:val="19"/>
              </w:rPr>
              <w:t>Business consumers, through a published app.</w:t>
            </w:r>
          </w:p>
        </w:tc>
      </w:tr>
    </w:tbl>
    <w:p>
      <w:pPr>
        <w:spacing w:after="80"/>
      </w:pPr>
    </w:p>
    <w:p>
      <w:pPr>
        <w:pStyle w:val="Heading1"/>
      </w:pPr>
      <w:r>
        <w:t>Workspace and environment model</w:t>
      </w:r>
    </w:p>
    <w:p>
      <w:pPr>
        <w:spacing w:after="120"/>
      </w:pPr>
      <w:r>
        <w:rPr>
          <w:b w:val="0"/>
          <w:i w:val="0"/>
          <w:sz w:val="21"/>
        </w:rPr>
        <w:t>Every environment is a hard boundary with its own workspaces, Entra groups, service principals, key vault and source connections. Production data never flows downward: lower environments run on masked or synthetic data. Promotion moves code and configuration only, executed by a deployment service principal.</w:t>
      </w:r>
    </w:p>
    <w:p>
      <w:pPr>
        <w:jc w:val="center"/>
      </w:pPr>
      <w:r>
        <w:drawing>
          <wp:inline>
            <wp:extent cx="5943600" cy="2750024"/>
            <wp:docPr id="2" name="Picture 2"/>
            <wp:cNvGraphicFramePr>
              <a:graphicFrameLocks noChangeAspect="1"/>
            </wp:cNvGraphicFramePr>
            <a:graphic>
              <a:graphicData uri="http://schemas.openxmlformats.org/drawingml/2006/picture">
                <pic:pic>
                  <pic:nvPicPr>
                    <pic:cNvPr id="0" name="d2_environments.png"/>
                    <pic:cNvPicPr/>
                  </pic:nvPicPr>
                  <pic:blipFill>
                    <a:blip r:embed="rId47"/>
                    <a:stretch>
                      <a:fillRect/>
                    </a:stretch>
                  </pic:blipFill>
                  <pic:spPr>
                    <a:xfrm>
                      <a:off x="0" y="0"/>
                      <a:ext cx="5943600" cy="2750024"/>
                    </a:xfrm>
                    <a:prstGeom prst="rect"/>
                  </pic:spPr>
                </pic:pic>
              </a:graphicData>
            </a:graphic>
          </wp:inline>
        </w:drawing>
      </w:r>
    </w:p>
    <w:p>
      <w:pPr>
        <w:spacing w:after="200"/>
        <w:jc w:val="center"/>
      </w:pPr>
      <w:r>
        <w:rPr>
          <w:b w:val="0"/>
          <w:i/>
          <w:color w:val="4D4D4F"/>
          <w:sz w:val="18"/>
        </w:rPr>
        <w:t>Figure 2 — Workspace, environment and deployment model.</w:t>
      </w:r>
    </w:p>
    <w:p>
      <w:pPr>
        <w:pStyle w:val="Heading2"/>
      </w:pPr>
      <w:r>
        <w:t>Isolation matrix</w:t>
      </w:r>
    </w:p>
    <w:tbl>
      <w:tblPr>
        <w:tblStyle w:val="InfoTable"/>
        <w:tblW w:type="auto" w:w="0"/>
        <w:jc w:val="center"/>
        <w:tblLayout w:type="fixed"/>
        <w:tblLook w:firstColumn="1" w:firstRow="1" w:lastColumn="0" w:lastRow="0" w:noHBand="0" w:noVBand="1" w:val="04A0"/>
      </w:tblPr>
      <w:tblGrid>
        <w:gridCol w:w="2340"/>
        <w:gridCol w:w="2340"/>
        <w:gridCol w:w="2340"/>
        <w:gridCol w:w="2340"/>
      </w:tblGrid>
      <w:tr>
        <w:tc>
          <w:tcPr>
            <w:tcW w:type="dxa" w:w="3024"/>
            <w:shd w:fill="00778A"/>
          </w:tcPr>
          <w:p>
            <w:pPr>
              <w:spacing w:after="40"/>
            </w:pPr>
            <w:r/>
            <w:r>
              <w:rPr>
                <w:b/>
                <w:color w:val="FFFFFF"/>
                <w:sz w:val="19"/>
              </w:rPr>
              <w:t>Isolated per environment</w:t>
            </w:r>
          </w:p>
        </w:tc>
        <w:tc>
          <w:tcPr>
            <w:tcW w:type="dxa" w:w="2016"/>
            <w:shd w:fill="00778A"/>
          </w:tcPr>
          <w:p>
            <w:pPr>
              <w:spacing w:after="40"/>
            </w:pPr>
            <w:r/>
            <w:r>
              <w:rPr>
                <w:b/>
                <w:color w:val="FFFFFF"/>
                <w:sz w:val="19"/>
              </w:rPr>
              <w:t>DEV</w:t>
            </w:r>
          </w:p>
        </w:tc>
        <w:tc>
          <w:tcPr>
            <w:tcW w:type="dxa" w:w="2016"/>
            <w:shd w:fill="00778A"/>
          </w:tcPr>
          <w:p>
            <w:pPr>
              <w:spacing w:after="40"/>
            </w:pPr>
            <w:r/>
            <w:r>
              <w:rPr>
                <w:b/>
                <w:color w:val="FFFFFF"/>
                <w:sz w:val="19"/>
              </w:rPr>
              <w:t>UAT</w:t>
            </w:r>
          </w:p>
        </w:tc>
        <w:tc>
          <w:tcPr>
            <w:tcW w:type="dxa" w:w="2304"/>
            <w:shd w:fill="00778A"/>
          </w:tcPr>
          <w:p>
            <w:pPr>
              <w:spacing w:after="40"/>
            </w:pPr>
            <w:r/>
            <w:r>
              <w:rPr>
                <w:b/>
                <w:color w:val="FFFFFF"/>
                <w:sz w:val="19"/>
              </w:rPr>
              <w:t>PROD</w:t>
            </w:r>
          </w:p>
        </w:tc>
      </w:tr>
      <w:tr>
        <w:tc>
          <w:tcPr>
            <w:tcW w:type="dxa" w:w="3024"/>
          </w:tcPr>
          <w:p>
            <w:pPr>
              <w:spacing w:after="40"/>
            </w:pPr>
            <w:r/>
            <w:r>
              <w:rPr>
                <w:b/>
                <w:sz w:val="19"/>
              </w:rPr>
              <w:t>Workspaces</w:t>
            </w:r>
          </w:p>
        </w:tc>
        <w:tc>
          <w:tcPr>
            <w:tcW w:type="dxa" w:w="2016"/>
          </w:tcPr>
          <w:p>
            <w:pPr>
              <w:spacing w:after="40"/>
            </w:pPr>
            <w:r/>
            <w:r>
              <w:rPr>
                <w:sz w:val="19"/>
              </w:rPr>
              <w:t>separate</w:t>
            </w:r>
          </w:p>
        </w:tc>
        <w:tc>
          <w:tcPr>
            <w:tcW w:type="dxa" w:w="2016"/>
          </w:tcPr>
          <w:p>
            <w:pPr>
              <w:spacing w:after="40"/>
            </w:pPr>
            <w:r/>
            <w:r>
              <w:rPr>
                <w:sz w:val="19"/>
              </w:rPr>
              <w:t>separate</w:t>
            </w:r>
          </w:p>
        </w:tc>
        <w:tc>
          <w:tcPr>
            <w:tcW w:type="dxa" w:w="2304"/>
          </w:tcPr>
          <w:p>
            <w:pPr>
              <w:spacing w:after="40"/>
            </w:pPr>
            <w:r/>
            <w:r>
              <w:rPr>
                <w:sz w:val="19"/>
              </w:rPr>
              <w:t>separate</w:t>
            </w:r>
          </w:p>
        </w:tc>
      </w:tr>
      <w:tr>
        <w:tc>
          <w:tcPr>
            <w:tcW w:type="dxa" w:w="3024"/>
          </w:tcPr>
          <w:p>
            <w:pPr>
              <w:spacing w:after="40"/>
            </w:pPr>
            <w:r/>
            <w:r>
              <w:rPr>
                <w:b/>
                <w:sz w:val="19"/>
              </w:rPr>
              <w:t>Capacity</w:t>
            </w:r>
          </w:p>
        </w:tc>
        <w:tc>
          <w:tcPr>
            <w:tcW w:type="dxa" w:w="2016"/>
          </w:tcPr>
          <w:p>
            <w:pPr>
              <w:spacing w:after="40"/>
            </w:pPr>
            <w:r/>
            <w:r>
              <w:rPr>
                <w:sz w:val="19"/>
              </w:rPr>
              <w:t>shared acceptable</w:t>
            </w:r>
          </w:p>
        </w:tc>
        <w:tc>
          <w:tcPr>
            <w:tcW w:type="dxa" w:w="2016"/>
          </w:tcPr>
          <w:p>
            <w:pPr>
              <w:spacing w:after="40"/>
            </w:pPr>
            <w:r/>
            <w:r>
              <w:rPr>
                <w:sz w:val="19"/>
              </w:rPr>
              <w:t>shared acceptable</w:t>
            </w:r>
          </w:p>
        </w:tc>
        <w:tc>
          <w:tcPr>
            <w:tcW w:type="dxa" w:w="2304"/>
          </w:tcPr>
          <w:p>
            <w:pPr>
              <w:spacing w:after="40"/>
            </w:pPr>
            <w:r/>
            <w:r>
              <w:rPr>
                <w:sz w:val="19"/>
              </w:rPr>
              <w:t>dedicated (recommended)</w:t>
            </w:r>
          </w:p>
        </w:tc>
      </w:tr>
      <w:tr>
        <w:tc>
          <w:tcPr>
            <w:tcW w:type="dxa" w:w="3024"/>
          </w:tcPr>
          <w:p>
            <w:pPr>
              <w:spacing w:after="40"/>
            </w:pPr>
            <w:r/>
            <w:r>
              <w:rPr>
                <w:b/>
                <w:sz w:val="19"/>
              </w:rPr>
              <w:t>Entra groups</w:t>
            </w:r>
          </w:p>
        </w:tc>
        <w:tc>
          <w:tcPr>
            <w:tcW w:type="dxa" w:w="2016"/>
          </w:tcPr>
          <w:p>
            <w:pPr>
              <w:spacing w:after="40"/>
            </w:pPr>
            <w:r/>
            <w:r>
              <w:rPr>
                <w:sz w:val="19"/>
              </w:rPr>
              <w:t>own</w:t>
            </w:r>
          </w:p>
        </w:tc>
        <w:tc>
          <w:tcPr>
            <w:tcW w:type="dxa" w:w="2016"/>
          </w:tcPr>
          <w:p>
            <w:pPr>
              <w:spacing w:after="40"/>
            </w:pPr>
            <w:r/>
            <w:r>
              <w:rPr>
                <w:sz w:val="19"/>
              </w:rPr>
              <w:t>own</w:t>
            </w:r>
          </w:p>
        </w:tc>
        <w:tc>
          <w:tcPr>
            <w:tcW w:type="dxa" w:w="2304"/>
          </w:tcPr>
          <w:p>
            <w:pPr>
              <w:spacing w:after="40"/>
            </w:pPr>
            <w:r/>
            <w:r>
              <w:rPr>
                <w:sz w:val="19"/>
              </w:rPr>
              <w:t>own</w:t>
            </w:r>
          </w:p>
        </w:tc>
      </w:tr>
      <w:tr>
        <w:tc>
          <w:tcPr>
            <w:tcW w:type="dxa" w:w="3024"/>
          </w:tcPr>
          <w:p>
            <w:pPr>
              <w:spacing w:after="40"/>
            </w:pPr>
            <w:r/>
            <w:r>
              <w:rPr>
                <w:b/>
                <w:sz w:val="19"/>
              </w:rPr>
              <w:t>Service principals</w:t>
            </w:r>
          </w:p>
        </w:tc>
        <w:tc>
          <w:tcPr>
            <w:tcW w:type="dxa" w:w="2016"/>
          </w:tcPr>
          <w:p>
            <w:pPr>
              <w:spacing w:after="40"/>
            </w:pPr>
            <w:r/>
            <w:r>
              <w:rPr>
                <w:sz w:val="19"/>
              </w:rPr>
              <w:t>own</w:t>
            </w:r>
          </w:p>
        </w:tc>
        <w:tc>
          <w:tcPr>
            <w:tcW w:type="dxa" w:w="2016"/>
          </w:tcPr>
          <w:p>
            <w:pPr>
              <w:spacing w:after="40"/>
            </w:pPr>
            <w:r/>
            <w:r>
              <w:rPr>
                <w:sz w:val="19"/>
              </w:rPr>
              <w:t>own</w:t>
            </w:r>
          </w:p>
        </w:tc>
        <w:tc>
          <w:tcPr>
            <w:tcW w:type="dxa" w:w="2304"/>
          </w:tcPr>
          <w:p>
            <w:pPr>
              <w:spacing w:after="40"/>
            </w:pPr>
            <w:r/>
            <w:r>
              <w:rPr>
                <w:sz w:val="19"/>
              </w:rPr>
              <w:t>own</w:t>
            </w:r>
          </w:p>
        </w:tc>
      </w:tr>
      <w:tr>
        <w:tc>
          <w:tcPr>
            <w:tcW w:type="dxa" w:w="3024"/>
          </w:tcPr>
          <w:p>
            <w:pPr>
              <w:spacing w:after="40"/>
            </w:pPr>
            <w:r/>
            <w:r>
              <w:rPr>
                <w:b/>
                <w:sz w:val="19"/>
              </w:rPr>
              <w:t>Key vault (secrets)</w:t>
            </w:r>
          </w:p>
        </w:tc>
        <w:tc>
          <w:tcPr>
            <w:tcW w:type="dxa" w:w="2016"/>
          </w:tcPr>
          <w:p>
            <w:pPr>
              <w:spacing w:after="40"/>
            </w:pPr>
            <w:r/>
            <w:r>
              <w:rPr>
                <w:sz w:val="19"/>
              </w:rPr>
              <w:t>own</w:t>
            </w:r>
          </w:p>
        </w:tc>
        <w:tc>
          <w:tcPr>
            <w:tcW w:type="dxa" w:w="2016"/>
          </w:tcPr>
          <w:p>
            <w:pPr>
              <w:spacing w:after="40"/>
            </w:pPr>
            <w:r/>
            <w:r>
              <w:rPr>
                <w:sz w:val="19"/>
              </w:rPr>
              <w:t>own</w:t>
            </w:r>
          </w:p>
        </w:tc>
        <w:tc>
          <w:tcPr>
            <w:tcW w:type="dxa" w:w="2304"/>
          </w:tcPr>
          <w:p>
            <w:pPr>
              <w:spacing w:after="40"/>
            </w:pPr>
            <w:r/>
            <w:r>
              <w:rPr>
                <w:sz w:val="19"/>
              </w:rPr>
              <w:t>own — production credentials live only here</w:t>
            </w:r>
          </w:p>
        </w:tc>
      </w:tr>
      <w:tr>
        <w:tc>
          <w:tcPr>
            <w:tcW w:type="dxa" w:w="3024"/>
          </w:tcPr>
          <w:p>
            <w:pPr>
              <w:spacing w:after="40"/>
            </w:pPr>
            <w:r/>
            <w:r>
              <w:rPr>
                <w:b/>
                <w:sz w:val="19"/>
              </w:rPr>
              <w:t>Source connection</w:t>
            </w:r>
          </w:p>
        </w:tc>
        <w:tc>
          <w:tcPr>
            <w:tcW w:type="dxa" w:w="2016"/>
          </w:tcPr>
          <w:p>
            <w:pPr>
              <w:spacing w:after="40"/>
            </w:pPr>
            <w:r/>
            <w:r>
              <w:rPr>
                <w:sz w:val="19"/>
              </w:rPr>
              <w:t>DEV source</w:t>
            </w:r>
          </w:p>
        </w:tc>
        <w:tc>
          <w:tcPr>
            <w:tcW w:type="dxa" w:w="2016"/>
          </w:tcPr>
          <w:p>
            <w:pPr>
              <w:spacing w:after="40"/>
            </w:pPr>
            <w:r/>
            <w:r>
              <w:rPr>
                <w:sz w:val="19"/>
              </w:rPr>
              <w:t>UAT source</w:t>
            </w:r>
          </w:p>
        </w:tc>
        <w:tc>
          <w:tcPr>
            <w:tcW w:type="dxa" w:w="2304"/>
          </w:tcPr>
          <w:p>
            <w:pPr>
              <w:spacing w:after="40"/>
            </w:pPr>
            <w:r/>
            <w:r>
              <w:rPr>
                <w:sz w:val="19"/>
              </w:rPr>
              <w:t>PROD source</w:t>
            </w:r>
          </w:p>
        </w:tc>
      </w:tr>
      <w:tr>
        <w:tc>
          <w:tcPr>
            <w:tcW w:type="dxa" w:w="3024"/>
          </w:tcPr>
          <w:p>
            <w:pPr>
              <w:spacing w:after="40"/>
            </w:pPr>
            <w:r/>
            <w:r>
              <w:rPr>
                <w:b/>
                <w:sz w:val="19"/>
              </w:rPr>
              <w:t>Data</w:t>
            </w:r>
          </w:p>
        </w:tc>
        <w:tc>
          <w:tcPr>
            <w:tcW w:type="dxa" w:w="2016"/>
          </w:tcPr>
          <w:p>
            <w:pPr>
              <w:spacing w:after="40"/>
            </w:pPr>
            <w:r/>
            <w:r>
              <w:rPr>
                <w:sz w:val="19"/>
              </w:rPr>
              <w:t>masked / synthetic</w:t>
            </w:r>
          </w:p>
        </w:tc>
        <w:tc>
          <w:tcPr>
            <w:tcW w:type="dxa" w:w="2016"/>
          </w:tcPr>
          <w:p>
            <w:pPr>
              <w:spacing w:after="40"/>
            </w:pPr>
            <w:r/>
            <w:r>
              <w:rPr>
                <w:sz w:val="19"/>
              </w:rPr>
              <w:t>masked / representative</w:t>
            </w:r>
          </w:p>
        </w:tc>
        <w:tc>
          <w:tcPr>
            <w:tcW w:type="dxa" w:w="2304"/>
          </w:tcPr>
          <w:p>
            <w:pPr>
              <w:spacing w:after="40"/>
            </w:pPr>
            <w:r/>
            <w:r>
              <w:rPr>
                <w:sz w:val="19"/>
              </w:rPr>
              <w:t>real (PII governed)</w:t>
            </w:r>
          </w:p>
        </w:tc>
      </w:tr>
      <w:tr>
        <w:tc>
          <w:tcPr>
            <w:tcW w:type="dxa" w:w="3024"/>
          </w:tcPr>
          <w:p>
            <w:pPr>
              <w:spacing w:after="40"/>
            </w:pPr>
            <w:r/>
            <w:r>
              <w:rPr>
                <w:b/>
                <w:sz w:val="19"/>
              </w:rPr>
              <w:t>Human change access</w:t>
            </w:r>
          </w:p>
        </w:tc>
        <w:tc>
          <w:tcPr>
            <w:tcW w:type="dxa" w:w="2016"/>
          </w:tcPr>
          <w:p>
            <w:pPr>
              <w:spacing w:after="40"/>
            </w:pPr>
            <w:r/>
            <w:r>
              <w:rPr>
                <w:sz w:val="19"/>
              </w:rPr>
              <w:t>build freely</w:t>
            </w:r>
          </w:p>
        </w:tc>
        <w:tc>
          <w:tcPr>
            <w:tcW w:type="dxa" w:w="2016"/>
          </w:tcPr>
          <w:p>
            <w:pPr>
              <w:spacing w:after="40"/>
            </w:pPr>
            <w:r/>
            <w:r>
              <w:rPr>
                <w:sz w:val="19"/>
              </w:rPr>
              <w:t>limited</w:t>
            </w:r>
          </w:p>
        </w:tc>
        <w:tc>
          <w:tcPr>
            <w:tcW w:type="dxa" w:w="2304"/>
          </w:tcPr>
          <w:p>
            <w:pPr>
              <w:spacing w:after="40"/>
            </w:pPr>
            <w:r/>
            <w:r>
              <w:rPr>
                <w:sz w:val="19"/>
              </w:rPr>
              <w:t>none standing — promotion only</w:t>
            </w:r>
          </w:p>
        </w:tc>
      </w:tr>
    </w:tbl>
    <w:p>
      <w:pPr>
        <w:spacing w:after="80"/>
      </w:pPr>
    </w:p>
    <w:p>
      <w:pPr>
        <w:pStyle w:val="Heading2"/>
      </w:pPr>
      <w:r>
        <w:t>Access matrix — who gets what, where</w:t>
      </w:r>
    </w:p>
    <w:p>
      <w:pPr>
        <w:spacing w:after="120"/>
      </w:pPr>
      <w:r>
        <w:rPr>
          <w:b w:val="0"/>
          <w:i/>
          <w:sz w:val="21"/>
        </w:rPr>
        <w:t>This is the core of an access-control review: which persona gets which level in which environment. The shape — broad in DEV, tight in PROD, promotion-only for changes — is the part to scrutinise.</w:t>
      </w:r>
    </w:p>
    <w:tbl>
      <w:tblPr>
        <w:tblStyle w:val="InfoTable"/>
        <w:tblW w:type="auto" w:w="0"/>
        <w:jc w:val="center"/>
        <w:tblLayout w:type="fixed"/>
        <w:tblLook w:firstColumn="1" w:firstRow="1" w:lastColumn="0" w:lastRow="0" w:noHBand="0" w:noVBand="1" w:val="04A0"/>
      </w:tblPr>
      <w:tblGrid>
        <w:gridCol w:w="2340"/>
        <w:gridCol w:w="2340"/>
        <w:gridCol w:w="2340"/>
        <w:gridCol w:w="2340"/>
      </w:tblGrid>
      <w:tr>
        <w:tc>
          <w:tcPr>
            <w:tcW w:type="dxa" w:w="2592"/>
            <w:shd w:fill="00778A"/>
          </w:tcPr>
          <w:p>
            <w:pPr>
              <w:spacing w:after="40"/>
            </w:pPr>
            <w:r/>
            <w:r>
              <w:rPr>
                <w:b/>
                <w:color w:val="FFFFFF"/>
                <w:sz w:val="18"/>
              </w:rPr>
              <w:t>Persona / identity</w:t>
            </w:r>
          </w:p>
        </w:tc>
        <w:tc>
          <w:tcPr>
            <w:tcW w:type="dxa" w:w="2016"/>
            <w:shd w:fill="00778A"/>
          </w:tcPr>
          <w:p>
            <w:pPr>
              <w:spacing w:after="40"/>
            </w:pPr>
            <w:r/>
            <w:r>
              <w:rPr>
                <w:b/>
                <w:color w:val="FFFFFF"/>
                <w:sz w:val="18"/>
              </w:rPr>
              <w:t>DEV</w:t>
            </w:r>
          </w:p>
        </w:tc>
        <w:tc>
          <w:tcPr>
            <w:tcW w:type="dxa" w:w="2160"/>
            <w:shd w:fill="00778A"/>
          </w:tcPr>
          <w:p>
            <w:pPr>
              <w:spacing w:after="40"/>
            </w:pPr>
            <w:r/>
            <w:r>
              <w:rPr>
                <w:b/>
                <w:color w:val="FFFFFF"/>
                <w:sz w:val="18"/>
              </w:rPr>
              <w:t>UAT</w:t>
            </w:r>
          </w:p>
        </w:tc>
        <w:tc>
          <w:tcPr>
            <w:tcW w:type="dxa" w:w="2592"/>
            <w:shd w:fill="00778A"/>
          </w:tcPr>
          <w:p>
            <w:pPr>
              <w:spacing w:after="40"/>
            </w:pPr>
            <w:r/>
            <w:r>
              <w:rPr>
                <w:b/>
                <w:color w:val="FFFFFF"/>
                <w:sz w:val="18"/>
              </w:rPr>
              <w:t>PROD</w:t>
            </w:r>
          </w:p>
        </w:tc>
      </w:tr>
      <w:tr>
        <w:tc>
          <w:tcPr>
            <w:tcW w:type="dxa" w:w="2592"/>
          </w:tcPr>
          <w:p>
            <w:pPr>
              <w:spacing w:after="40"/>
            </w:pPr>
            <w:r/>
            <w:r>
              <w:rPr>
                <w:b/>
                <w:sz w:val="18"/>
              </w:rPr>
              <w:t>Platform / Fabric admin</w:t>
            </w:r>
          </w:p>
        </w:tc>
        <w:tc>
          <w:tcPr>
            <w:tcW w:type="dxa" w:w="2016"/>
          </w:tcPr>
          <w:p>
            <w:pPr>
              <w:spacing w:after="40"/>
            </w:pPr>
            <w:r/>
            <w:r>
              <w:rPr>
                <w:sz w:val="18"/>
              </w:rPr>
              <w:t>Admin (elevated on request)</w:t>
            </w:r>
          </w:p>
        </w:tc>
        <w:tc>
          <w:tcPr>
            <w:tcW w:type="dxa" w:w="2160"/>
          </w:tcPr>
          <w:p>
            <w:pPr>
              <w:spacing w:after="40"/>
            </w:pPr>
            <w:r/>
            <w:r>
              <w:rPr>
                <w:sz w:val="18"/>
              </w:rPr>
              <w:t>Admin (elevated on request)</w:t>
            </w:r>
          </w:p>
        </w:tc>
        <w:tc>
          <w:tcPr>
            <w:tcW w:type="dxa" w:w="2592"/>
          </w:tcPr>
          <w:p>
            <w:pPr>
              <w:spacing w:after="40"/>
            </w:pPr>
            <w:r/>
            <w:r>
              <w:rPr>
                <w:sz w:val="18"/>
              </w:rPr>
              <w:t>Admin — just-in-time with approval; break-glass held separately</w:t>
            </w:r>
          </w:p>
        </w:tc>
      </w:tr>
      <w:tr>
        <w:tc>
          <w:tcPr>
            <w:tcW w:type="dxa" w:w="2592"/>
          </w:tcPr>
          <w:p>
            <w:pPr>
              <w:spacing w:after="40"/>
            </w:pPr>
            <w:r/>
            <w:r>
              <w:rPr>
                <w:b/>
                <w:sz w:val="18"/>
              </w:rPr>
              <w:t>Data engineer / developer</w:t>
            </w:r>
          </w:p>
        </w:tc>
        <w:tc>
          <w:tcPr>
            <w:tcW w:type="dxa" w:w="2016"/>
          </w:tcPr>
          <w:p>
            <w:pPr>
              <w:spacing w:after="40"/>
            </w:pPr>
            <w:r/>
            <w:r>
              <w:rPr>
                <w:sz w:val="18"/>
              </w:rPr>
              <w:t>Contributor or Member</w:t>
            </w:r>
          </w:p>
        </w:tc>
        <w:tc>
          <w:tcPr>
            <w:tcW w:type="dxa" w:w="2160"/>
          </w:tcPr>
          <w:p>
            <w:pPr>
              <w:spacing w:after="40"/>
            </w:pPr>
            <w:r/>
            <w:r>
              <w:rPr>
                <w:sz w:val="18"/>
              </w:rPr>
              <w:t>Viewer, or Contributor for fixes</w:t>
            </w:r>
          </w:p>
        </w:tc>
        <w:tc>
          <w:tcPr>
            <w:tcW w:type="dxa" w:w="2592"/>
          </w:tcPr>
          <w:p>
            <w:pPr>
              <w:spacing w:after="40"/>
            </w:pPr>
            <w:r/>
            <w:r>
              <w:rPr>
                <w:sz w:val="18"/>
              </w:rPr>
              <w:t>No standing access — changes via pipeline only</w:t>
            </w:r>
          </w:p>
        </w:tc>
      </w:tr>
      <w:tr>
        <w:tc>
          <w:tcPr>
            <w:tcW w:type="dxa" w:w="2592"/>
          </w:tcPr>
          <w:p>
            <w:pPr>
              <w:spacing w:after="40"/>
            </w:pPr>
            <w:r/>
            <w:r>
              <w:rPr>
                <w:b/>
                <w:sz w:val="18"/>
              </w:rPr>
              <w:t>Data steward</w:t>
            </w:r>
          </w:p>
        </w:tc>
        <w:tc>
          <w:tcPr>
            <w:tcW w:type="dxa" w:w="2016"/>
          </w:tcPr>
          <w:p>
            <w:pPr>
              <w:spacing w:after="40"/>
            </w:pPr>
            <w:r/>
            <w:r>
              <w:rPr>
                <w:sz w:val="18"/>
              </w:rPr>
              <w:t>Member</w:t>
            </w:r>
          </w:p>
        </w:tc>
        <w:tc>
          <w:tcPr>
            <w:tcW w:type="dxa" w:w="2160"/>
          </w:tcPr>
          <w:p>
            <w:pPr>
              <w:spacing w:after="40"/>
            </w:pPr>
            <w:r/>
            <w:r>
              <w:rPr>
                <w:sz w:val="18"/>
              </w:rPr>
              <w:t>Member</w:t>
            </w:r>
          </w:p>
        </w:tc>
        <w:tc>
          <w:tcPr>
            <w:tcW w:type="dxa" w:w="2592"/>
          </w:tcPr>
          <w:p>
            <w:pPr>
              <w:spacing w:after="40"/>
            </w:pPr>
            <w:r/>
            <w:r>
              <w:rPr>
                <w:sz w:val="18"/>
              </w:rPr>
              <w:t>Viewer plus governance tooling (no data edits)</w:t>
            </w:r>
          </w:p>
        </w:tc>
      </w:tr>
      <w:tr>
        <w:tc>
          <w:tcPr>
            <w:tcW w:type="dxa" w:w="2592"/>
          </w:tcPr>
          <w:p>
            <w:pPr>
              <w:spacing w:after="40"/>
            </w:pPr>
            <w:r/>
            <w:r>
              <w:rPr>
                <w:b/>
                <w:sz w:val="18"/>
              </w:rPr>
              <w:t>Report author / analyst</w:t>
            </w:r>
          </w:p>
        </w:tc>
        <w:tc>
          <w:tcPr>
            <w:tcW w:type="dxa" w:w="2016"/>
          </w:tcPr>
          <w:p>
            <w:pPr>
              <w:spacing w:after="40"/>
            </w:pPr>
            <w:r/>
            <w:r>
              <w:rPr>
                <w:sz w:val="18"/>
              </w:rPr>
              <w:t>Contributor</w:t>
            </w:r>
          </w:p>
        </w:tc>
        <w:tc>
          <w:tcPr>
            <w:tcW w:type="dxa" w:w="2160"/>
          </w:tcPr>
          <w:p>
            <w:pPr>
              <w:spacing w:after="40"/>
            </w:pPr>
            <w:r/>
            <w:r>
              <w:rPr>
                <w:sz w:val="18"/>
              </w:rPr>
              <w:t>Contributor (validate)</w:t>
            </w:r>
          </w:p>
        </w:tc>
        <w:tc>
          <w:tcPr>
            <w:tcW w:type="dxa" w:w="2592"/>
          </w:tcPr>
          <w:p>
            <w:pPr>
              <w:spacing w:after="40"/>
            </w:pPr>
            <w:r/>
            <w:r>
              <w:rPr>
                <w:sz w:val="18"/>
              </w:rPr>
              <w:t>Author only in a dedicated authoring workspace; Viewer on curated data</w:t>
            </w:r>
          </w:p>
        </w:tc>
      </w:tr>
      <w:tr>
        <w:tc>
          <w:tcPr>
            <w:tcW w:type="dxa" w:w="2592"/>
          </w:tcPr>
          <w:p>
            <w:pPr>
              <w:spacing w:after="40"/>
            </w:pPr>
            <w:r/>
            <w:r>
              <w:rPr>
                <w:b/>
                <w:sz w:val="18"/>
              </w:rPr>
              <w:t>Business consumer</w:t>
            </w:r>
          </w:p>
        </w:tc>
        <w:tc>
          <w:tcPr>
            <w:tcW w:type="dxa" w:w="2016"/>
          </w:tcPr>
          <w:p>
            <w:pPr>
              <w:spacing w:after="40"/>
            </w:pPr>
            <w:r/>
            <w:r>
              <w:rPr>
                <w:sz w:val="18"/>
              </w:rPr>
              <w:t>—</w:t>
            </w:r>
          </w:p>
        </w:tc>
        <w:tc>
          <w:tcPr>
            <w:tcW w:type="dxa" w:w="2160"/>
          </w:tcPr>
          <w:p>
            <w:pPr>
              <w:spacing w:after="40"/>
            </w:pPr>
            <w:r/>
            <w:r>
              <w:rPr>
                <w:sz w:val="18"/>
              </w:rPr>
              <w:t>Viewer (UAT sign-off)</w:t>
            </w:r>
          </w:p>
        </w:tc>
        <w:tc>
          <w:tcPr>
            <w:tcW w:type="dxa" w:w="2592"/>
          </w:tcPr>
          <w:p>
            <w:pPr>
              <w:spacing w:after="40"/>
            </w:pPr>
            <w:r/>
            <w:r>
              <w:rPr>
                <w:sz w:val="18"/>
              </w:rPr>
              <w:t>Viewer through a published app only</w:t>
            </w:r>
          </w:p>
        </w:tc>
      </w:tr>
      <w:tr>
        <w:tc>
          <w:tcPr>
            <w:tcW w:type="dxa" w:w="2592"/>
          </w:tcPr>
          <w:p>
            <w:pPr>
              <w:spacing w:after="40"/>
            </w:pPr>
            <w:r/>
            <w:r>
              <w:rPr>
                <w:b/>
                <w:sz w:val="18"/>
              </w:rPr>
              <w:t>Auditor / security</w:t>
            </w:r>
          </w:p>
        </w:tc>
        <w:tc>
          <w:tcPr>
            <w:tcW w:type="dxa" w:w="2016"/>
          </w:tcPr>
          <w:p>
            <w:pPr>
              <w:spacing w:after="40"/>
            </w:pPr>
            <w:r/>
            <w:r>
              <w:rPr>
                <w:sz w:val="18"/>
              </w:rPr>
              <w:t>Viewer + audit logs</w:t>
            </w:r>
          </w:p>
        </w:tc>
        <w:tc>
          <w:tcPr>
            <w:tcW w:type="dxa" w:w="2160"/>
          </w:tcPr>
          <w:p>
            <w:pPr>
              <w:spacing w:after="40"/>
            </w:pPr>
            <w:r/>
            <w:r>
              <w:rPr>
                <w:sz w:val="18"/>
              </w:rPr>
              <w:t>Viewer + audit logs</w:t>
            </w:r>
          </w:p>
        </w:tc>
        <w:tc>
          <w:tcPr>
            <w:tcW w:type="dxa" w:w="2592"/>
          </w:tcPr>
          <w:p>
            <w:pPr>
              <w:spacing w:after="40"/>
            </w:pPr>
            <w:r/>
            <w:r>
              <w:rPr>
                <w:sz w:val="18"/>
              </w:rPr>
              <w:t>Viewer + audit logs</w:t>
            </w:r>
          </w:p>
        </w:tc>
      </w:tr>
      <w:tr>
        <w:tc>
          <w:tcPr>
            <w:tcW w:type="dxa" w:w="2592"/>
          </w:tcPr>
          <w:p>
            <w:pPr>
              <w:spacing w:after="40"/>
            </w:pPr>
            <w:r/>
            <w:r>
              <w:rPr>
                <w:b/>
                <w:sz w:val="18"/>
              </w:rPr>
              <w:t>Deployment service principal</w:t>
            </w:r>
          </w:p>
        </w:tc>
        <w:tc>
          <w:tcPr>
            <w:tcW w:type="dxa" w:w="2016"/>
          </w:tcPr>
          <w:p>
            <w:pPr>
              <w:spacing w:after="40"/>
            </w:pPr>
            <w:r/>
            <w:r>
              <w:rPr>
                <w:sz w:val="18"/>
              </w:rPr>
              <w:t>Member (deploy)</w:t>
            </w:r>
          </w:p>
        </w:tc>
        <w:tc>
          <w:tcPr>
            <w:tcW w:type="dxa" w:w="2160"/>
          </w:tcPr>
          <w:p>
            <w:pPr>
              <w:spacing w:after="40"/>
            </w:pPr>
            <w:r/>
            <w:r>
              <w:rPr>
                <w:sz w:val="18"/>
              </w:rPr>
              <w:t>Member (deploy)</w:t>
            </w:r>
          </w:p>
        </w:tc>
        <w:tc>
          <w:tcPr>
            <w:tcW w:type="dxa" w:w="2592"/>
          </w:tcPr>
          <w:p>
            <w:pPr>
              <w:spacing w:after="40"/>
            </w:pPr>
            <w:r/>
            <w:r>
              <w:rPr>
                <w:sz w:val="18"/>
              </w:rPr>
              <w:t>Member — the only identity that changes production</w:t>
            </w:r>
          </w:p>
        </w:tc>
      </w:tr>
      <w:tr>
        <w:tc>
          <w:tcPr>
            <w:tcW w:type="dxa" w:w="2592"/>
          </w:tcPr>
          <w:p>
            <w:pPr>
              <w:spacing w:after="40"/>
            </w:pPr>
            <w:r/>
            <w:r>
              <w:rPr>
                <w:b/>
                <w:sz w:val="18"/>
              </w:rPr>
              <w:t>Runtime service principal</w:t>
            </w:r>
          </w:p>
        </w:tc>
        <w:tc>
          <w:tcPr>
            <w:tcW w:type="dxa" w:w="2016"/>
          </w:tcPr>
          <w:p>
            <w:pPr>
              <w:spacing w:after="40"/>
            </w:pPr>
            <w:r/>
            <w:r>
              <w:rPr>
                <w:sz w:val="18"/>
              </w:rPr>
              <w:t>Contributor (run)</w:t>
            </w:r>
          </w:p>
        </w:tc>
        <w:tc>
          <w:tcPr>
            <w:tcW w:type="dxa" w:w="2160"/>
          </w:tcPr>
          <w:p>
            <w:pPr>
              <w:spacing w:after="40"/>
            </w:pPr>
            <w:r/>
            <w:r>
              <w:rPr>
                <w:sz w:val="18"/>
              </w:rPr>
              <w:t>Contributor (run)</w:t>
            </w:r>
          </w:p>
        </w:tc>
        <w:tc>
          <w:tcPr>
            <w:tcW w:type="dxa" w:w="2592"/>
          </w:tcPr>
          <w:p>
            <w:pPr>
              <w:spacing w:after="40"/>
            </w:pPr>
            <w:r/>
            <w:r>
              <w:rPr>
                <w:sz w:val="18"/>
              </w:rPr>
              <w:t>Contributor (run)</w:t>
            </w:r>
          </w:p>
        </w:tc>
      </w:tr>
      <w:tr>
        <w:tc>
          <w:tcPr>
            <w:tcW w:type="dxa" w:w="2592"/>
          </w:tcPr>
          <w:p>
            <w:pPr>
              <w:spacing w:after="40"/>
            </w:pPr>
            <w:r/>
            <w:r>
              <w:rPr>
                <w:b/>
                <w:sz w:val="18"/>
              </w:rPr>
              <w:t>Gateway / connection account</w:t>
            </w:r>
          </w:p>
        </w:tc>
        <w:tc>
          <w:tcPr>
            <w:tcW w:type="dxa" w:w="2016"/>
          </w:tcPr>
          <w:p>
            <w:pPr>
              <w:spacing w:after="40"/>
            </w:pPr>
            <w:r/>
            <w:r>
              <w:rPr>
                <w:sz w:val="18"/>
              </w:rPr>
              <w:t>read-only on DEV source</w:t>
            </w:r>
          </w:p>
        </w:tc>
        <w:tc>
          <w:tcPr>
            <w:tcW w:type="dxa" w:w="2160"/>
          </w:tcPr>
          <w:p>
            <w:pPr>
              <w:spacing w:after="40"/>
            </w:pPr>
            <w:r/>
            <w:r>
              <w:rPr>
                <w:sz w:val="18"/>
              </w:rPr>
              <w:t>read-only on UAT source</w:t>
            </w:r>
          </w:p>
        </w:tc>
        <w:tc>
          <w:tcPr>
            <w:tcW w:type="dxa" w:w="2592"/>
          </w:tcPr>
          <w:p>
            <w:pPr>
              <w:spacing w:after="40"/>
            </w:pPr>
            <w:r/>
            <w:r>
              <w:rPr>
                <w:sz w:val="18"/>
              </w:rPr>
              <w:t>read-only on PROD source</w:t>
            </w:r>
          </w:p>
        </w:tc>
      </w:tr>
    </w:tbl>
    <w:p>
      <w:pPr>
        <w:spacing w:after="80"/>
      </w:pPr>
    </w:p>
    <w:p>
      <w:pPr>
        <w:pStyle w:val="Heading2"/>
      </w:pPr>
      <w:r>
        <w:t>Promotion</w:t>
      </w:r>
    </w:p>
    <w:p>
      <w:pPr>
        <w:spacing w:after="120"/>
      </w:pPr>
      <w:r>
        <w:rPr>
          <w:b w:val="0"/>
          <w:i w:val="0"/>
          <w:sz w:val="21"/>
        </w:rPr>
        <w:t>Changes flow DEV → UAT → PROD through Fabric deployment pipelines and the control-plane deployment scripts, executed by the deployment service principal. Only code and configuration promote — never data, and never connection secrets, which are held per environment in that environment's key vault.</w:t>
      </w:r>
    </w:p>
    <w:p>
      <w:pPr>
        <w:pStyle w:val="Heading1"/>
      </w:pPr>
      <w:r>
        <w:t>Security and access model</w:t>
      </w:r>
    </w:p>
    <w:p>
      <w:pPr>
        <w:spacing w:after="120"/>
      </w:pPr>
      <w:r>
        <w:rPr>
          <w:b w:val="0"/>
          <w:i w:val="0"/>
          <w:sz w:val="21"/>
        </w:rPr>
        <w:t>Access is granted to Microsoft Entra security groups, gated by Conditional Access and just-in-time elevation, and then narrows layer by layer inside Fabric — from tenant guardrails down to individual rows, columns and masked values. Automation runs as service principals with secrets in Key Vault, and every action is audited.</w:t>
      </w:r>
    </w:p>
    <w:p>
      <w:pPr>
        <w:jc w:val="center"/>
      </w:pPr>
      <w:r>
        <w:drawing>
          <wp:inline>
            <wp:extent cx="5943600" cy="2750024"/>
            <wp:docPr id="3" name="Picture 3"/>
            <wp:cNvGraphicFramePr>
              <a:graphicFrameLocks noChangeAspect="1"/>
            </wp:cNvGraphicFramePr>
            <a:graphic>
              <a:graphicData uri="http://schemas.openxmlformats.org/drawingml/2006/picture">
                <pic:pic>
                  <pic:nvPicPr>
                    <pic:cNvPr id="0" name="d3_security.png"/>
                    <pic:cNvPicPr/>
                  </pic:nvPicPr>
                  <pic:blipFill>
                    <a:blip r:embed="rId48"/>
                    <a:stretch>
                      <a:fillRect/>
                    </a:stretch>
                  </pic:blipFill>
                  <pic:spPr>
                    <a:xfrm>
                      <a:off x="0" y="0"/>
                      <a:ext cx="5943600" cy="2750024"/>
                    </a:xfrm>
                    <a:prstGeom prst="rect"/>
                  </pic:spPr>
                </pic:pic>
              </a:graphicData>
            </a:graphic>
          </wp:inline>
        </w:drawing>
      </w:r>
    </w:p>
    <w:p>
      <w:pPr>
        <w:spacing w:after="200"/>
        <w:jc w:val="center"/>
      </w:pPr>
      <w:r>
        <w:rPr>
          <w:b w:val="0"/>
          <w:i/>
          <w:color w:val="4D4D4F"/>
          <w:sz w:val="18"/>
        </w:rPr>
        <w:t>Figure 3 — Identity, defence in depth, and the governance operating model.</w:t>
      </w:r>
    </w:p>
    <w:p>
      <w:pPr>
        <w:pStyle w:val="Heading2"/>
      </w:pPr>
      <w:r>
        <w:t>Guiding principles</w:t>
      </w:r>
    </w:p>
    <w:p>
      <w:pPr>
        <w:pStyle w:val="ListParagraph"/>
        <w:spacing w:after="60"/>
        <w:ind w:left="432"/>
        <w:numPr>
          <w:ilvl w:val="0"/>
          <w:numId w:val="1"/>
        </w:numPr>
      </w:pPr>
      <w:r>
        <w:rPr>
          <w:b/>
          <w:sz w:val="21"/>
        </w:rPr>
        <w:t xml:space="preserve">Group-based, never individual — </w:t>
      </w:r>
      <w:r>
        <w:rPr>
          <w:sz w:val="21"/>
        </w:rPr>
        <w:t>all access is granted to Entra security groups; adding or removing a person is a membership change, and the permission model itself never changes.</w:t>
      </w:r>
    </w:p>
    <w:p>
      <w:pPr>
        <w:pStyle w:val="ListParagraph"/>
        <w:spacing w:after="60"/>
        <w:ind w:left="432"/>
        <w:numPr>
          <w:ilvl w:val="0"/>
          <w:numId w:val="1"/>
        </w:numPr>
      </w:pPr>
      <w:r>
        <w:rPr>
          <w:b/>
          <w:sz w:val="21"/>
        </w:rPr>
        <w:t xml:space="preserve">Least privilege and just-in-time — </w:t>
      </w:r>
      <w:r>
        <w:rPr>
          <w:sz w:val="21"/>
        </w:rPr>
        <w:t>privileged and production access is granted on demand with approval, not held standing.</w:t>
      </w:r>
    </w:p>
    <w:p>
      <w:pPr>
        <w:pStyle w:val="ListParagraph"/>
        <w:spacing w:after="60"/>
        <w:ind w:left="432"/>
        <w:numPr>
          <w:ilvl w:val="0"/>
          <w:numId w:val="1"/>
        </w:numPr>
      </w:pPr>
      <w:r>
        <w:rPr>
          <w:b/>
          <w:sz w:val="21"/>
        </w:rPr>
        <w:t xml:space="preserve">People and machines do not mix — </w:t>
      </w:r>
      <w:r>
        <w:rPr>
          <w:sz w:val="21"/>
        </w:rPr>
        <w:t>humans never authenticate as service principals, and automation never runs as a personal account.</w:t>
      </w:r>
    </w:p>
    <w:p>
      <w:pPr>
        <w:pStyle w:val="ListParagraph"/>
        <w:spacing w:after="60"/>
        <w:ind w:left="432"/>
        <w:numPr>
          <w:ilvl w:val="0"/>
          <w:numId w:val="1"/>
        </w:numPr>
      </w:pPr>
      <w:r>
        <w:rPr>
          <w:b/>
          <w:sz w:val="21"/>
        </w:rPr>
        <w:t xml:space="preserve">Production data stays in production — </w:t>
      </w:r>
      <w:r>
        <w:rPr>
          <w:sz w:val="21"/>
        </w:rPr>
        <w:t>lower environments use masked, synthetic or subset data.</w:t>
      </w:r>
    </w:p>
    <w:p>
      <w:pPr>
        <w:pStyle w:val="ListParagraph"/>
        <w:spacing w:after="60"/>
        <w:ind w:left="432"/>
        <w:numPr>
          <w:ilvl w:val="0"/>
          <w:numId w:val="1"/>
        </w:numPr>
      </w:pPr>
      <w:r>
        <w:rPr>
          <w:b/>
          <w:sz w:val="21"/>
        </w:rPr>
        <w:t xml:space="preserve">Change production only by promotion — </w:t>
      </w:r>
      <w:r>
        <w:rPr>
          <w:sz w:val="21"/>
        </w:rPr>
        <w:t>no manual edits in production.</w:t>
      </w:r>
    </w:p>
    <w:p>
      <w:pPr>
        <w:pStyle w:val="ListParagraph"/>
        <w:spacing w:after="60"/>
        <w:ind w:left="432"/>
        <w:numPr>
          <w:ilvl w:val="0"/>
          <w:numId w:val="1"/>
        </w:numPr>
      </w:pPr>
      <w:r>
        <w:rPr>
          <w:b/>
          <w:sz w:val="21"/>
        </w:rPr>
        <w:t xml:space="preserve">Private by default — </w:t>
      </w:r>
      <w:r>
        <w:rPr>
          <w:sz w:val="21"/>
        </w:rPr>
        <w:t>no public-internet path to any source.</w:t>
      </w:r>
    </w:p>
    <w:p>
      <w:pPr>
        <w:pStyle w:val="ListParagraph"/>
        <w:spacing w:after="60"/>
        <w:ind w:left="432"/>
        <w:numPr>
          <w:ilvl w:val="0"/>
          <w:numId w:val="1"/>
        </w:numPr>
      </w:pPr>
      <w:r>
        <w:rPr>
          <w:b/>
          <w:sz w:val="21"/>
        </w:rPr>
        <w:t xml:space="preserve">Everything is auditable — </w:t>
      </w:r>
      <w:r>
        <w:rPr>
          <w:sz w:val="21"/>
        </w:rPr>
        <w:t>access grants, data reads and pipeline actions are all logged.</w:t>
      </w:r>
    </w:p>
    <w:p>
      <w:pPr>
        <w:pStyle w:val="Heading2"/>
      </w:pPr>
      <w:r>
        <w:t>Entra security groups</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3312"/>
            <w:shd w:fill="00778A"/>
          </w:tcPr>
          <w:p>
            <w:pPr>
              <w:spacing w:after="40"/>
            </w:pPr>
            <w:r/>
            <w:r>
              <w:rPr>
                <w:b/>
                <w:color w:val="FFFFFF"/>
                <w:sz w:val="19"/>
              </w:rPr>
              <w:t>Group (naming convention)</w:t>
            </w:r>
          </w:p>
        </w:tc>
        <w:tc>
          <w:tcPr>
            <w:tcW w:type="dxa" w:w="2160"/>
            <w:shd w:fill="00778A"/>
          </w:tcPr>
          <w:p>
            <w:pPr>
              <w:spacing w:after="40"/>
            </w:pPr>
            <w:r/>
            <w:r>
              <w:rPr>
                <w:b/>
                <w:color w:val="FFFFFF"/>
                <w:sz w:val="19"/>
              </w:rPr>
              <w:t>Members</w:t>
            </w:r>
          </w:p>
        </w:tc>
        <w:tc>
          <w:tcPr>
            <w:tcW w:type="dxa" w:w="3888"/>
            <w:shd w:fill="00778A"/>
          </w:tcPr>
          <w:p>
            <w:pPr>
              <w:spacing w:after="40"/>
            </w:pPr>
            <w:r/>
            <w:r>
              <w:rPr>
                <w:b/>
                <w:color w:val="FFFFFF"/>
                <w:sz w:val="19"/>
              </w:rPr>
              <w:t>Purpose</w:t>
            </w:r>
          </w:p>
        </w:tc>
      </w:tr>
      <w:tr>
        <w:tc>
          <w:tcPr>
            <w:tcW w:type="dxa" w:w="3312"/>
          </w:tcPr>
          <w:p>
            <w:pPr>
              <w:spacing w:after="40"/>
            </w:pPr>
            <w:r/>
            <w:r>
              <w:rPr>
                <w:b/>
                <w:sz w:val="19"/>
              </w:rPr>
              <w:t>BCPC-FAB-{ENV}-Engineers</w:t>
            </w:r>
          </w:p>
        </w:tc>
        <w:tc>
          <w:tcPr>
            <w:tcW w:type="dxa" w:w="2160"/>
          </w:tcPr>
          <w:p>
            <w:pPr>
              <w:spacing w:after="40"/>
            </w:pPr>
            <w:r/>
            <w:r>
              <w:rPr>
                <w:sz w:val="19"/>
              </w:rPr>
              <w:t>Data engineers</w:t>
            </w:r>
          </w:p>
        </w:tc>
        <w:tc>
          <w:tcPr>
            <w:tcW w:type="dxa" w:w="3888"/>
          </w:tcPr>
          <w:p>
            <w:pPr>
              <w:spacing w:after="40"/>
            </w:pPr>
            <w:r/>
            <w:r>
              <w:rPr>
                <w:sz w:val="19"/>
              </w:rPr>
              <w:t>Build access in that environment</w:t>
            </w:r>
          </w:p>
        </w:tc>
      </w:tr>
      <w:tr>
        <w:tc>
          <w:tcPr>
            <w:tcW w:type="dxa" w:w="3312"/>
          </w:tcPr>
          <w:p>
            <w:pPr>
              <w:spacing w:after="40"/>
            </w:pPr>
            <w:r/>
            <w:r>
              <w:rPr>
                <w:b/>
                <w:sz w:val="19"/>
              </w:rPr>
              <w:t>BCPC-FAB-{ENV}-ReportAuthors</w:t>
            </w:r>
          </w:p>
        </w:tc>
        <w:tc>
          <w:tcPr>
            <w:tcW w:type="dxa" w:w="2160"/>
          </w:tcPr>
          <w:p>
            <w:pPr>
              <w:spacing w:after="40"/>
            </w:pPr>
            <w:r/>
            <w:r>
              <w:rPr>
                <w:sz w:val="19"/>
              </w:rPr>
              <w:t>Analysts</w:t>
            </w:r>
          </w:p>
        </w:tc>
        <w:tc>
          <w:tcPr>
            <w:tcW w:type="dxa" w:w="3888"/>
          </w:tcPr>
          <w:p>
            <w:pPr>
              <w:spacing w:after="40"/>
            </w:pPr>
            <w:r/>
            <w:r>
              <w:rPr>
                <w:sz w:val="19"/>
              </w:rPr>
              <w:t>Author semantic models and reports</w:t>
            </w:r>
          </w:p>
        </w:tc>
      </w:tr>
      <w:tr>
        <w:tc>
          <w:tcPr>
            <w:tcW w:type="dxa" w:w="3312"/>
          </w:tcPr>
          <w:p>
            <w:pPr>
              <w:spacing w:after="40"/>
            </w:pPr>
            <w:r/>
            <w:r>
              <w:rPr>
                <w:b/>
                <w:sz w:val="19"/>
              </w:rPr>
              <w:t>BCPC-FAB-{ENV}-Consumers</w:t>
            </w:r>
          </w:p>
        </w:tc>
        <w:tc>
          <w:tcPr>
            <w:tcW w:type="dxa" w:w="2160"/>
          </w:tcPr>
          <w:p>
            <w:pPr>
              <w:spacing w:after="40"/>
            </w:pPr>
            <w:r/>
            <w:r>
              <w:rPr>
                <w:sz w:val="19"/>
              </w:rPr>
              <w:t>Business users</w:t>
            </w:r>
          </w:p>
        </w:tc>
        <w:tc>
          <w:tcPr>
            <w:tcW w:type="dxa" w:w="3888"/>
          </w:tcPr>
          <w:p>
            <w:pPr>
              <w:spacing w:after="40"/>
            </w:pPr>
            <w:r/>
            <w:r>
              <w:rPr>
                <w:sz w:val="19"/>
              </w:rPr>
              <w:t>View published reports through an app</w:t>
            </w:r>
          </w:p>
        </w:tc>
      </w:tr>
      <w:tr>
        <w:tc>
          <w:tcPr>
            <w:tcW w:type="dxa" w:w="3312"/>
          </w:tcPr>
          <w:p>
            <w:pPr>
              <w:spacing w:after="40"/>
            </w:pPr>
            <w:r/>
            <w:r>
              <w:rPr>
                <w:b/>
                <w:sz w:val="19"/>
              </w:rPr>
              <w:t>BCPC-DATA-{DOMAIN}-Stewards</w:t>
            </w:r>
          </w:p>
        </w:tc>
        <w:tc>
          <w:tcPr>
            <w:tcW w:type="dxa" w:w="2160"/>
          </w:tcPr>
          <w:p>
            <w:pPr>
              <w:spacing w:after="40"/>
            </w:pPr>
            <w:r/>
            <w:r>
              <w:rPr>
                <w:sz w:val="19"/>
              </w:rPr>
              <w:t>Data stewards</w:t>
            </w:r>
          </w:p>
        </w:tc>
        <w:tc>
          <w:tcPr>
            <w:tcW w:type="dxa" w:w="3888"/>
          </w:tcPr>
          <w:p>
            <w:pPr>
              <w:spacing w:after="40"/>
            </w:pPr>
            <w:r/>
            <w:r>
              <w:rPr>
                <w:sz w:val="19"/>
              </w:rPr>
              <w:t>Governance for a data domain</w:t>
            </w:r>
          </w:p>
        </w:tc>
      </w:tr>
      <w:tr>
        <w:tc>
          <w:tcPr>
            <w:tcW w:type="dxa" w:w="3312"/>
          </w:tcPr>
          <w:p>
            <w:pPr>
              <w:spacing w:after="40"/>
            </w:pPr>
            <w:r/>
            <w:r>
              <w:rPr>
                <w:b/>
                <w:sz w:val="19"/>
              </w:rPr>
              <w:t>BCPC-FAB-Platform-Admins</w:t>
            </w:r>
          </w:p>
        </w:tc>
        <w:tc>
          <w:tcPr>
            <w:tcW w:type="dxa" w:w="2160"/>
          </w:tcPr>
          <w:p>
            <w:pPr>
              <w:spacing w:after="40"/>
            </w:pPr>
            <w:r/>
            <w:r>
              <w:rPr>
                <w:sz w:val="19"/>
              </w:rPr>
              <w:t>Platform team</w:t>
            </w:r>
          </w:p>
        </w:tc>
        <w:tc>
          <w:tcPr>
            <w:tcW w:type="dxa" w:w="3888"/>
          </w:tcPr>
          <w:p>
            <w:pPr>
              <w:spacing w:after="40"/>
            </w:pPr>
            <w:r/>
            <w:r>
              <w:rPr>
                <w:sz w:val="19"/>
              </w:rPr>
              <w:t>Tenant and capacity administration — elevation required</w:t>
            </w:r>
          </w:p>
        </w:tc>
      </w:tr>
      <w:tr>
        <w:tc>
          <w:tcPr>
            <w:tcW w:type="dxa" w:w="3312"/>
          </w:tcPr>
          <w:p>
            <w:pPr>
              <w:spacing w:after="40"/>
            </w:pPr>
            <w:r/>
            <w:r>
              <w:rPr>
                <w:b/>
                <w:sz w:val="19"/>
              </w:rPr>
              <w:t>BCPC-FAB-Auditors</w:t>
            </w:r>
          </w:p>
        </w:tc>
        <w:tc>
          <w:tcPr>
            <w:tcW w:type="dxa" w:w="2160"/>
          </w:tcPr>
          <w:p>
            <w:pPr>
              <w:spacing w:after="40"/>
            </w:pPr>
            <w:r/>
            <w:r>
              <w:rPr>
                <w:sz w:val="19"/>
              </w:rPr>
              <w:t>Security and audit</w:t>
            </w:r>
          </w:p>
        </w:tc>
        <w:tc>
          <w:tcPr>
            <w:tcW w:type="dxa" w:w="3888"/>
          </w:tcPr>
          <w:p>
            <w:pPr>
              <w:spacing w:after="40"/>
            </w:pPr>
            <w:r/>
            <w:r>
              <w:rPr>
                <w:sz w:val="19"/>
              </w:rPr>
              <w:t>Read and audit-log access</w:t>
            </w:r>
          </w:p>
        </w:tc>
      </w:tr>
      <w:tr>
        <w:tc>
          <w:tcPr>
            <w:tcW w:type="dxa" w:w="3312"/>
          </w:tcPr>
          <w:p>
            <w:pPr>
              <w:spacing w:after="40"/>
            </w:pPr>
            <w:r/>
            <w:r>
              <w:rPr>
                <w:b/>
                <w:sz w:val="19"/>
              </w:rPr>
              <w:t>BCPC-FAB-SPN-{ENV}</w:t>
            </w:r>
          </w:p>
        </w:tc>
        <w:tc>
          <w:tcPr>
            <w:tcW w:type="dxa" w:w="2160"/>
          </w:tcPr>
          <w:p>
            <w:pPr>
              <w:spacing w:after="40"/>
            </w:pPr>
            <w:r/>
            <w:r>
              <w:rPr>
                <w:sz w:val="19"/>
              </w:rPr>
              <w:t>Service principals</w:t>
            </w:r>
          </w:p>
        </w:tc>
        <w:tc>
          <w:tcPr>
            <w:tcW w:type="dxa" w:w="3888"/>
          </w:tcPr>
          <w:p>
            <w:pPr>
              <w:spacing w:after="40"/>
            </w:pPr>
            <w:r/>
            <w:r>
              <w:rPr>
                <w:sz w:val="19"/>
              </w:rPr>
              <w:t>Automation identities; scopes API access</w:t>
            </w:r>
          </w:p>
        </w:tc>
      </w:tr>
    </w:tbl>
    <w:p>
      <w:pPr>
        <w:spacing w:after="80"/>
      </w:pPr>
    </w:p>
    <w:p>
      <w:pPr>
        <w:pStyle w:val="Heading2"/>
      </w:pPr>
      <w:r>
        <w:t>Defence in depth</w:t>
      </w:r>
    </w:p>
    <w:tbl>
      <w:tblPr>
        <w:tblStyle w:val="InfoTable"/>
        <w:tblW w:type="auto" w:w="0"/>
        <w:jc w:val="center"/>
        <w:tblLayout w:type="fixed"/>
        <w:tblLook w:firstColumn="1" w:firstRow="1" w:lastColumn="0" w:lastRow="0" w:noHBand="0" w:noVBand="1" w:val="04A0"/>
      </w:tblPr>
      <w:tblGrid>
        <w:gridCol w:w="4680"/>
        <w:gridCol w:w="4680"/>
      </w:tblGrid>
      <w:tr>
        <w:tc>
          <w:tcPr>
            <w:tcW w:type="dxa" w:w="2304"/>
            <w:shd w:fill="00778A"/>
          </w:tcPr>
          <w:p>
            <w:pPr>
              <w:spacing w:after="40"/>
            </w:pPr>
            <w:r/>
            <w:r>
              <w:rPr>
                <w:b/>
                <w:color w:val="FFFFFF"/>
                <w:sz w:val="19"/>
              </w:rPr>
              <w:t>Layer</w:t>
            </w:r>
          </w:p>
        </w:tc>
        <w:tc>
          <w:tcPr>
            <w:tcW w:type="dxa" w:w="7056"/>
            <w:shd w:fill="00778A"/>
          </w:tcPr>
          <w:p>
            <w:pPr>
              <w:spacing w:after="40"/>
            </w:pPr>
            <w:r/>
            <w:r>
              <w:rPr>
                <w:b/>
                <w:color w:val="FFFFFF"/>
                <w:sz w:val="19"/>
              </w:rPr>
              <w:t>Control</w:t>
            </w:r>
          </w:p>
        </w:tc>
      </w:tr>
      <w:tr>
        <w:tc>
          <w:tcPr>
            <w:tcW w:type="dxa" w:w="2304"/>
          </w:tcPr>
          <w:p>
            <w:pPr>
              <w:spacing w:after="40"/>
            </w:pPr>
            <w:r/>
            <w:r>
              <w:rPr>
                <w:b/>
                <w:sz w:val="19"/>
              </w:rPr>
              <w:t>Tenant guardrails</w:t>
            </w:r>
          </w:p>
        </w:tc>
        <w:tc>
          <w:tcPr>
            <w:tcW w:type="dxa" w:w="7056"/>
          </w:tcPr>
          <w:p>
            <w:pPr>
              <w:spacing w:after="40"/>
            </w:pPr>
            <w:r/>
            <w:r>
              <w:rPr>
                <w:sz w:val="19"/>
              </w:rPr>
              <w:t>Service-principal scope, publish-to-web off, external sharing off, mandatory sensitivity labels, Conditional Access.</w:t>
            </w:r>
          </w:p>
        </w:tc>
      </w:tr>
      <w:tr>
        <w:tc>
          <w:tcPr>
            <w:tcW w:type="dxa" w:w="2304"/>
          </w:tcPr>
          <w:p>
            <w:pPr>
              <w:spacing w:after="40"/>
            </w:pPr>
            <w:r/>
            <w:r>
              <w:rPr>
                <w:b/>
                <w:sz w:val="19"/>
              </w:rPr>
              <w:t>Capacity</w:t>
            </w:r>
          </w:p>
        </w:tc>
        <w:tc>
          <w:tcPr>
            <w:tcW w:type="dxa" w:w="7056"/>
          </w:tcPr>
          <w:p>
            <w:pPr>
              <w:spacing w:after="40"/>
            </w:pPr>
            <w:r/>
            <w:r>
              <w:rPr>
                <w:sz w:val="19"/>
              </w:rPr>
              <w:t>Production on dedicated capacity; workspace-to-capacity assignment controlled.</w:t>
            </w:r>
          </w:p>
        </w:tc>
      </w:tr>
      <w:tr>
        <w:tc>
          <w:tcPr>
            <w:tcW w:type="dxa" w:w="2304"/>
          </w:tcPr>
          <w:p>
            <w:pPr>
              <w:spacing w:after="40"/>
            </w:pPr>
            <w:r/>
            <w:r>
              <w:rPr>
                <w:b/>
                <w:sz w:val="19"/>
              </w:rPr>
              <w:t>Workspace roles</w:t>
            </w:r>
          </w:p>
        </w:tc>
        <w:tc>
          <w:tcPr>
            <w:tcW w:type="dxa" w:w="7056"/>
          </w:tcPr>
          <w:p>
            <w:pPr>
              <w:spacing w:after="40"/>
            </w:pPr>
            <w:r/>
            <w:r>
              <w:rPr>
                <w:sz w:val="19"/>
              </w:rPr>
              <w:t>Least-privilege Admin / Member / Contributor / Viewer, assigned to groups and reviewed on a cadence.</w:t>
            </w:r>
          </w:p>
        </w:tc>
      </w:tr>
      <w:tr>
        <w:tc>
          <w:tcPr>
            <w:tcW w:type="dxa" w:w="2304"/>
          </w:tcPr>
          <w:p>
            <w:pPr>
              <w:spacing w:after="40"/>
            </w:pPr>
            <w:r/>
            <w:r>
              <w:rPr>
                <w:b/>
                <w:sz w:val="19"/>
              </w:rPr>
              <w:t>Item permissions</w:t>
            </w:r>
          </w:p>
        </w:tc>
        <w:tc>
          <w:tcPr>
            <w:tcW w:type="dxa" w:w="7056"/>
          </w:tcPr>
          <w:p>
            <w:pPr>
              <w:spacing w:after="40"/>
            </w:pPr>
            <w:r/>
            <w:r>
              <w:rPr>
                <w:sz w:val="19"/>
              </w:rPr>
              <w:t>Per lakehouse, semantic model and report.</w:t>
            </w:r>
          </w:p>
        </w:tc>
      </w:tr>
      <w:tr>
        <w:tc>
          <w:tcPr>
            <w:tcW w:type="dxa" w:w="2304"/>
          </w:tcPr>
          <w:p>
            <w:pPr>
              <w:spacing w:after="40"/>
            </w:pPr>
            <w:r/>
            <w:r>
              <w:rPr>
                <w:b/>
                <w:sz w:val="19"/>
              </w:rPr>
              <w:t>Data-level security</w:t>
            </w:r>
          </w:p>
        </w:tc>
        <w:tc>
          <w:tcPr>
            <w:tcW w:type="dxa" w:w="7056"/>
          </w:tcPr>
          <w:p>
            <w:pPr>
              <w:spacing w:after="40"/>
            </w:pPr>
            <w:r/>
            <w:r>
              <w:rPr>
                <w:sz w:val="19"/>
              </w:rPr>
              <w:t>OneLake row-level and column-level security plus dynamic and static masking, applied from configuration per environment.</w:t>
            </w:r>
          </w:p>
        </w:tc>
      </w:tr>
    </w:tbl>
    <w:p>
      <w:pPr>
        <w:spacing w:after="80"/>
      </w:pPr>
    </w:p>
    <w:p>
      <w:pPr>
        <w:pStyle w:val="Heading2"/>
      </w:pPr>
      <w:r>
        <w:t>Machine identities</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2880"/>
            <w:shd w:fill="00778A"/>
          </w:tcPr>
          <w:p>
            <w:pPr>
              <w:spacing w:after="40"/>
            </w:pPr>
            <w:r/>
            <w:r>
              <w:rPr>
                <w:b/>
                <w:color w:val="FFFFFF"/>
                <w:sz w:val="19"/>
              </w:rPr>
              <w:t>Identity (per environment)</w:t>
            </w:r>
          </w:p>
        </w:tc>
        <w:tc>
          <w:tcPr>
            <w:tcW w:type="dxa" w:w="3168"/>
            <w:shd w:fill="00778A"/>
          </w:tcPr>
          <w:p>
            <w:pPr>
              <w:spacing w:after="40"/>
            </w:pPr>
            <w:r/>
            <w:r>
              <w:rPr>
                <w:b/>
                <w:color w:val="FFFFFF"/>
                <w:sz w:val="19"/>
              </w:rPr>
              <w:t>Used for</w:t>
            </w:r>
          </w:p>
        </w:tc>
        <w:tc>
          <w:tcPr>
            <w:tcW w:type="dxa" w:w="3312"/>
            <w:shd w:fill="00778A"/>
          </w:tcPr>
          <w:p>
            <w:pPr>
              <w:spacing w:after="40"/>
            </w:pPr>
            <w:r/>
            <w:r>
              <w:rPr>
                <w:b/>
                <w:color w:val="FFFFFF"/>
                <w:sz w:val="19"/>
              </w:rPr>
              <w:t>Access</w:t>
            </w:r>
          </w:p>
        </w:tc>
      </w:tr>
      <w:tr>
        <w:tc>
          <w:tcPr>
            <w:tcW w:type="dxa" w:w="2880"/>
          </w:tcPr>
          <w:p>
            <w:pPr>
              <w:spacing w:after="40"/>
            </w:pPr>
            <w:r/>
            <w:r>
              <w:rPr>
                <w:b/>
                <w:sz w:val="19"/>
              </w:rPr>
              <w:t>Deployment service principal</w:t>
            </w:r>
          </w:p>
        </w:tc>
        <w:tc>
          <w:tcPr>
            <w:tcW w:type="dxa" w:w="3168"/>
          </w:tcPr>
          <w:p>
            <w:pPr>
              <w:spacing w:after="40"/>
            </w:pPr>
            <w:r/>
            <w:r>
              <w:rPr>
                <w:sz w:val="19"/>
              </w:rPr>
              <w:t>CI/CD — provision and promote code and configuration</w:t>
            </w:r>
          </w:p>
        </w:tc>
        <w:tc>
          <w:tcPr>
            <w:tcW w:type="dxa" w:w="3312"/>
          </w:tcPr>
          <w:p>
            <w:pPr>
              <w:spacing w:after="40"/>
            </w:pPr>
            <w:r/>
            <w:r>
              <w:rPr>
                <w:sz w:val="19"/>
              </w:rPr>
              <w:t>Member on that environment's workspaces; the only identity that changes production</w:t>
            </w:r>
          </w:p>
        </w:tc>
      </w:tr>
      <w:tr>
        <w:tc>
          <w:tcPr>
            <w:tcW w:type="dxa" w:w="2880"/>
          </w:tcPr>
          <w:p>
            <w:pPr>
              <w:spacing w:after="40"/>
            </w:pPr>
            <w:r/>
            <w:r>
              <w:rPr>
                <w:b/>
                <w:sz w:val="19"/>
              </w:rPr>
              <w:t>Runtime service principal</w:t>
            </w:r>
          </w:p>
        </w:tc>
        <w:tc>
          <w:tcPr>
            <w:tcW w:type="dxa" w:w="3168"/>
          </w:tcPr>
          <w:p>
            <w:pPr>
              <w:spacing w:after="40"/>
            </w:pPr>
            <w:r/>
            <w:r>
              <w:rPr>
                <w:sz w:val="19"/>
              </w:rPr>
              <w:t>Scheduled pipeline and notebook execution</w:t>
            </w:r>
          </w:p>
        </w:tc>
        <w:tc>
          <w:tcPr>
            <w:tcW w:type="dxa" w:w="3312"/>
          </w:tcPr>
          <w:p>
            <w:pPr>
              <w:spacing w:after="40"/>
            </w:pPr>
            <w:r/>
            <w:r>
              <w:rPr>
                <w:sz w:val="19"/>
              </w:rPr>
              <w:t>Contributor on that environment's workspaces</w:t>
            </w:r>
          </w:p>
        </w:tc>
      </w:tr>
      <w:tr>
        <w:tc>
          <w:tcPr>
            <w:tcW w:type="dxa" w:w="2880"/>
          </w:tcPr>
          <w:p>
            <w:pPr>
              <w:spacing w:after="40"/>
            </w:pPr>
            <w:r/>
            <w:r>
              <w:rPr>
                <w:b/>
                <w:sz w:val="19"/>
              </w:rPr>
              <w:t>Gateway / connection account</w:t>
            </w:r>
          </w:p>
        </w:tc>
        <w:tc>
          <w:tcPr>
            <w:tcW w:type="dxa" w:w="3168"/>
          </w:tcPr>
          <w:p>
            <w:pPr>
              <w:spacing w:after="40"/>
            </w:pPr>
            <w:r/>
            <w:r>
              <w:rPr>
                <w:sz w:val="19"/>
              </w:rPr>
              <w:t>Source connectivity through the gateway</w:t>
            </w:r>
          </w:p>
        </w:tc>
        <w:tc>
          <w:tcPr>
            <w:tcW w:type="dxa" w:w="3312"/>
          </w:tcPr>
          <w:p>
            <w:pPr>
              <w:spacing w:after="40"/>
            </w:pPr>
            <w:r/>
            <w:r>
              <w:rPr>
                <w:sz w:val="19"/>
              </w:rPr>
              <w:t>Read-only on the source</w:t>
            </w:r>
          </w:p>
        </w:tc>
      </w:tr>
      <w:tr>
        <w:tc>
          <w:tcPr>
            <w:tcW w:type="dxa" w:w="2880"/>
          </w:tcPr>
          <w:p>
            <w:pPr>
              <w:spacing w:after="40"/>
            </w:pPr>
            <w:r/>
            <w:r>
              <w:rPr>
                <w:b/>
                <w:sz w:val="19"/>
              </w:rPr>
              <w:t>Managed identity (preferred where supported)</w:t>
            </w:r>
          </w:p>
        </w:tc>
        <w:tc>
          <w:tcPr>
            <w:tcW w:type="dxa" w:w="3168"/>
          </w:tcPr>
          <w:p>
            <w:pPr>
              <w:spacing w:after="40"/>
            </w:pPr>
            <w:r/>
            <w:r>
              <w:rPr>
                <w:sz w:val="19"/>
              </w:rPr>
              <w:t>Fabric-to-Azure resource access</w:t>
            </w:r>
          </w:p>
        </w:tc>
        <w:tc>
          <w:tcPr>
            <w:tcW w:type="dxa" w:w="3312"/>
          </w:tcPr>
          <w:p>
            <w:pPr>
              <w:spacing w:after="40"/>
            </w:pPr>
            <w:r/>
            <w:r>
              <w:rPr>
                <w:sz w:val="19"/>
              </w:rPr>
              <w:t>Scoped to the specific resource; no credential to manage</w:t>
            </w:r>
          </w:p>
        </w:tc>
      </w:tr>
    </w:tbl>
    <w:p>
      <w:pPr>
        <w:spacing w:after="80"/>
      </w:pPr>
    </w:p>
    <w:p>
      <w:pPr>
        <w:pStyle w:val="Heading2"/>
      </w:pPr>
      <w:r>
        <w:t>Data protection</w:t>
      </w:r>
    </w:p>
    <w:tbl>
      <w:tblPr>
        <w:tblStyle w:val="InfoTable"/>
        <w:tblW w:type="auto" w:w="0"/>
        <w:jc w:val="center"/>
        <w:tblLayout w:type="fixed"/>
        <w:tblLook w:firstColumn="1" w:firstRow="1" w:lastColumn="0" w:lastRow="0" w:noHBand="0" w:noVBand="1" w:val="04A0"/>
      </w:tblPr>
      <w:tblGrid>
        <w:gridCol w:w="4680"/>
        <w:gridCol w:w="4680"/>
      </w:tblGrid>
      <w:tr>
        <w:tc>
          <w:tcPr>
            <w:tcW w:type="dxa" w:w="2448"/>
            <w:shd w:fill="00778A"/>
          </w:tcPr>
          <w:p>
            <w:pPr>
              <w:spacing w:after="40"/>
            </w:pPr>
            <w:r/>
            <w:r>
              <w:rPr>
                <w:b/>
                <w:color w:val="FFFFFF"/>
                <w:sz w:val="19"/>
              </w:rPr>
              <w:t>Control</w:t>
            </w:r>
          </w:p>
        </w:tc>
        <w:tc>
          <w:tcPr>
            <w:tcW w:type="dxa" w:w="6912"/>
            <w:shd w:fill="00778A"/>
          </w:tcPr>
          <w:p>
            <w:pPr>
              <w:spacing w:after="40"/>
            </w:pPr>
            <w:r/>
            <w:r>
              <w:rPr>
                <w:b/>
                <w:color w:val="FFFFFF"/>
                <w:sz w:val="19"/>
              </w:rPr>
              <w:t>Position</w:t>
            </w:r>
          </w:p>
        </w:tc>
      </w:tr>
      <w:tr>
        <w:tc>
          <w:tcPr>
            <w:tcW w:type="dxa" w:w="2448"/>
          </w:tcPr>
          <w:p>
            <w:pPr>
              <w:spacing w:after="40"/>
            </w:pPr>
            <w:r/>
            <w:r>
              <w:rPr>
                <w:b/>
                <w:sz w:val="19"/>
              </w:rPr>
              <w:t>PII minimisation</w:t>
            </w:r>
          </w:p>
        </w:tc>
        <w:tc>
          <w:tcPr>
            <w:tcW w:type="dxa" w:w="6912"/>
          </w:tcPr>
          <w:p>
            <w:pPr>
              <w:spacing w:after="40"/>
            </w:pPr>
            <w:r/>
            <w:r>
              <w:rPr>
                <w:sz w:val="19"/>
              </w:rPr>
              <w:t>Sensitive columns are masked or excluded as data lands in Silver, so sensitive values need never persist raw.</w:t>
            </w:r>
          </w:p>
        </w:tc>
      </w:tr>
      <w:tr>
        <w:tc>
          <w:tcPr>
            <w:tcW w:type="dxa" w:w="2448"/>
          </w:tcPr>
          <w:p>
            <w:pPr>
              <w:spacing w:after="40"/>
            </w:pPr>
            <w:r/>
            <w:r>
              <w:rPr>
                <w:b/>
                <w:sz w:val="19"/>
              </w:rPr>
              <w:t>Row and column security</w:t>
            </w:r>
          </w:p>
        </w:tc>
        <w:tc>
          <w:tcPr>
            <w:tcW w:type="dxa" w:w="6912"/>
          </w:tcPr>
          <w:p>
            <w:pPr>
              <w:spacing w:after="40"/>
            </w:pPr>
            <w:r/>
            <w:r>
              <w:rPr>
                <w:sz w:val="19"/>
              </w:rPr>
              <w:t>Applied from configuration, consistently per environment.</w:t>
            </w:r>
          </w:p>
        </w:tc>
      </w:tr>
      <w:tr>
        <w:tc>
          <w:tcPr>
            <w:tcW w:type="dxa" w:w="2448"/>
          </w:tcPr>
          <w:p>
            <w:pPr>
              <w:spacing w:after="40"/>
            </w:pPr>
            <w:r/>
            <w:r>
              <w:rPr>
                <w:b/>
                <w:sz w:val="19"/>
              </w:rPr>
              <w:t>Masking</w:t>
            </w:r>
          </w:p>
        </w:tc>
        <w:tc>
          <w:tcPr>
            <w:tcW w:type="dxa" w:w="6912"/>
          </w:tcPr>
          <w:p>
            <w:pPr>
              <w:spacing w:after="40"/>
            </w:pPr>
            <w:r/>
            <w:r>
              <w:rPr>
                <w:sz w:val="19"/>
              </w:rPr>
              <w:t>Dynamic masking at query time plus static masking during processing.</w:t>
            </w:r>
          </w:p>
        </w:tc>
      </w:tr>
      <w:tr>
        <w:tc>
          <w:tcPr>
            <w:tcW w:type="dxa" w:w="2448"/>
          </w:tcPr>
          <w:p>
            <w:pPr>
              <w:spacing w:after="40"/>
            </w:pPr>
            <w:r/>
            <w:r>
              <w:rPr>
                <w:b/>
                <w:sz w:val="19"/>
              </w:rPr>
              <w:t>Sensitivity labels</w:t>
            </w:r>
          </w:p>
        </w:tc>
        <w:tc>
          <w:tcPr>
            <w:tcW w:type="dxa" w:w="6912"/>
          </w:tcPr>
          <w:p>
            <w:pPr>
              <w:spacing w:after="40"/>
            </w:pPr>
            <w:r/>
            <w:r>
              <w:rPr>
                <w:sz w:val="19"/>
              </w:rPr>
              <w:t>Information Protection labels applied to items; labels travel with the data.</w:t>
            </w:r>
          </w:p>
        </w:tc>
      </w:tr>
      <w:tr>
        <w:tc>
          <w:tcPr>
            <w:tcW w:type="dxa" w:w="2448"/>
          </w:tcPr>
          <w:p>
            <w:pPr>
              <w:spacing w:after="40"/>
            </w:pPr>
            <w:r/>
            <w:r>
              <w:rPr>
                <w:b/>
                <w:sz w:val="19"/>
              </w:rPr>
              <w:t>Data residency</w:t>
            </w:r>
          </w:p>
        </w:tc>
        <w:tc>
          <w:tcPr>
            <w:tcW w:type="dxa" w:w="6912"/>
          </w:tcPr>
          <w:p>
            <w:pPr>
              <w:spacing w:after="40"/>
            </w:pPr>
            <w:r/>
            <w:r>
              <w:rPr>
                <w:sz w:val="19"/>
              </w:rPr>
              <w:t>Capacity and gateway virtual machines hosted in a Canadian region; no cross-geo processing.</w:t>
            </w:r>
          </w:p>
        </w:tc>
      </w:tr>
      <w:tr>
        <w:tc>
          <w:tcPr>
            <w:tcW w:type="dxa" w:w="2448"/>
          </w:tcPr>
          <w:p>
            <w:pPr>
              <w:spacing w:after="40"/>
            </w:pPr>
            <w:r/>
            <w:r>
              <w:rPr>
                <w:b/>
                <w:sz w:val="19"/>
              </w:rPr>
              <w:t>Encryption</w:t>
            </w:r>
          </w:p>
        </w:tc>
        <w:tc>
          <w:tcPr>
            <w:tcW w:type="dxa" w:w="6912"/>
          </w:tcPr>
          <w:p>
            <w:pPr>
              <w:spacing w:after="40"/>
            </w:pPr>
            <w:r/>
            <w:r>
              <w:rPr>
                <w:sz w:val="19"/>
              </w:rPr>
              <w:t>Encrypted at rest by default; customer-managed keys evaluated if policy requires.</w:t>
            </w:r>
          </w:p>
        </w:tc>
      </w:tr>
      <w:tr>
        <w:tc>
          <w:tcPr>
            <w:tcW w:type="dxa" w:w="2448"/>
          </w:tcPr>
          <w:p>
            <w:pPr>
              <w:spacing w:after="40"/>
            </w:pPr>
            <w:r/>
            <w:r>
              <w:rPr>
                <w:b/>
                <w:sz w:val="19"/>
              </w:rPr>
              <w:t>Export controls</w:t>
            </w:r>
          </w:p>
        </w:tc>
        <w:tc>
          <w:tcPr>
            <w:tcW w:type="dxa" w:w="6912"/>
          </w:tcPr>
          <w:p>
            <w:pPr>
              <w:spacing w:after="40"/>
            </w:pPr>
            <w:r/>
            <w:r>
              <w:rPr>
                <w:sz w:val="19"/>
              </w:rPr>
              <w:t>Publish-to-web disabled; export and download restricted on sensitive workspaces.</w:t>
            </w:r>
          </w:p>
        </w:tc>
      </w:tr>
    </w:tbl>
    <w:p>
      <w:pPr>
        <w:spacing w:after="80"/>
      </w:pPr>
    </w:p>
    <w:p>
      <w:pPr>
        <w:spacing w:after="120"/>
      </w:pPr>
      <w:r>
        <w:rPr>
          <w:b w:val="0"/>
          <w:i/>
          <w:sz w:val="20"/>
        </w:rPr>
        <w:t>Enforcement note: OneLake row/column security and dynamic data masking restrict non-privileged (Viewer) users. Workspace administrators and owners see unmasked data — which is precisely why administrative access is group-based, elevated just in time, and audited.</w:t>
      </w:r>
    </w:p>
    <w:p>
      <w:pPr>
        <w:pStyle w:val="Heading1"/>
      </w:pPr>
      <w:r>
        <w:t>Governance</w:t>
      </w:r>
    </w:p>
    <w:p>
      <w:pPr>
        <w:pStyle w:val="Heading2"/>
      </w:pPr>
      <w:r>
        <w:t>Operating model</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2160"/>
            <w:shd w:fill="00778A"/>
          </w:tcPr>
          <w:p>
            <w:pPr>
              <w:spacing w:after="40"/>
            </w:pPr>
            <w:r/>
            <w:r>
              <w:rPr>
                <w:b/>
                <w:color w:val="FFFFFF"/>
                <w:sz w:val="19"/>
              </w:rPr>
              <w:t>Role</w:t>
            </w:r>
          </w:p>
        </w:tc>
        <w:tc>
          <w:tcPr>
            <w:tcW w:type="dxa" w:w="2592"/>
            <w:shd w:fill="00778A"/>
          </w:tcPr>
          <w:p>
            <w:pPr>
              <w:spacing w:after="40"/>
            </w:pPr>
            <w:r/>
            <w:r>
              <w:rPr>
                <w:b/>
                <w:color w:val="FFFFFF"/>
                <w:sz w:val="19"/>
              </w:rPr>
              <w:t>Owns</w:t>
            </w:r>
          </w:p>
        </w:tc>
        <w:tc>
          <w:tcPr>
            <w:tcW w:type="dxa" w:w="4608"/>
            <w:shd w:fill="00778A"/>
          </w:tcPr>
          <w:p>
            <w:pPr>
              <w:spacing w:after="40"/>
            </w:pPr>
            <w:r/>
            <w:r>
              <w:rPr>
                <w:b/>
                <w:color w:val="FFFFFF"/>
                <w:sz w:val="19"/>
              </w:rPr>
              <w:t>Key responsibilities</w:t>
            </w:r>
          </w:p>
        </w:tc>
      </w:tr>
      <w:tr>
        <w:tc>
          <w:tcPr>
            <w:tcW w:type="dxa" w:w="2160"/>
          </w:tcPr>
          <w:p>
            <w:pPr>
              <w:spacing w:after="40"/>
            </w:pPr>
            <w:r/>
            <w:r>
              <w:rPr>
                <w:b/>
                <w:sz w:val="19"/>
              </w:rPr>
              <w:t>Platform Owner</w:t>
            </w:r>
          </w:p>
        </w:tc>
        <w:tc>
          <w:tcPr>
            <w:tcW w:type="dxa" w:w="2592"/>
          </w:tcPr>
          <w:p>
            <w:pPr>
              <w:spacing w:after="40"/>
            </w:pPr>
            <w:r/>
            <w:r>
              <w:rPr>
                <w:sz w:val="19"/>
              </w:rPr>
              <w:t>The Fabric platform and capacity</w:t>
            </w:r>
          </w:p>
        </w:tc>
        <w:tc>
          <w:tcPr>
            <w:tcW w:type="dxa" w:w="4608"/>
          </w:tcPr>
          <w:p>
            <w:pPr>
              <w:spacing w:after="40"/>
            </w:pPr>
            <w:r/>
            <w:r>
              <w:rPr>
                <w:sz w:val="19"/>
              </w:rPr>
              <w:t>Capacity, tenant and admin settings, standards, release management.</w:t>
            </w:r>
          </w:p>
        </w:tc>
      </w:tr>
      <w:tr>
        <w:tc>
          <w:tcPr>
            <w:tcW w:type="dxa" w:w="2160"/>
          </w:tcPr>
          <w:p>
            <w:pPr>
              <w:spacing w:after="40"/>
            </w:pPr>
            <w:r/>
            <w:r>
              <w:rPr>
                <w:b/>
                <w:sz w:val="19"/>
              </w:rPr>
              <w:t>Capacity Admin</w:t>
            </w:r>
          </w:p>
        </w:tc>
        <w:tc>
          <w:tcPr>
            <w:tcW w:type="dxa" w:w="2592"/>
          </w:tcPr>
          <w:p>
            <w:pPr>
              <w:spacing w:after="40"/>
            </w:pPr>
            <w:r/>
            <w:r>
              <w:rPr>
                <w:sz w:val="19"/>
              </w:rPr>
              <w:t>Capacity sizing and guardrails</w:t>
            </w:r>
          </w:p>
        </w:tc>
        <w:tc>
          <w:tcPr>
            <w:tcW w:type="dxa" w:w="4608"/>
          </w:tcPr>
          <w:p>
            <w:pPr>
              <w:spacing w:after="40"/>
            </w:pPr>
            <w:r/>
            <w:r>
              <w:rPr>
                <w:sz w:val="19"/>
              </w:rPr>
              <w:t>Monitoring, throttling and surge guardrails, scale and rebalance path.</w:t>
            </w:r>
          </w:p>
        </w:tc>
      </w:tr>
      <w:tr>
        <w:tc>
          <w:tcPr>
            <w:tcW w:type="dxa" w:w="2160"/>
          </w:tcPr>
          <w:p>
            <w:pPr>
              <w:spacing w:after="40"/>
            </w:pPr>
            <w:r/>
            <w:r>
              <w:rPr>
                <w:b/>
                <w:sz w:val="19"/>
              </w:rPr>
              <w:t>Platform Admins</w:t>
            </w:r>
          </w:p>
        </w:tc>
        <w:tc>
          <w:tcPr>
            <w:tcW w:type="dxa" w:w="2592"/>
          </w:tcPr>
          <w:p>
            <w:pPr>
              <w:spacing w:after="40"/>
            </w:pPr>
            <w:r/>
            <w:r>
              <w:rPr>
                <w:sz w:val="19"/>
              </w:rPr>
              <w:t>Tenant, gateways, releases</w:t>
            </w:r>
          </w:p>
        </w:tc>
        <w:tc>
          <w:tcPr>
            <w:tcW w:type="dxa" w:w="4608"/>
          </w:tcPr>
          <w:p>
            <w:pPr>
              <w:spacing w:after="40"/>
            </w:pPr>
            <w:r/>
            <w:r>
              <w:rPr>
                <w:sz w:val="19"/>
              </w:rPr>
              <w:t>Tenant settings, gateway upkeep, deployment pipelines, incident response.</w:t>
            </w:r>
          </w:p>
        </w:tc>
      </w:tr>
      <w:tr>
        <w:tc>
          <w:tcPr>
            <w:tcW w:type="dxa" w:w="2160"/>
          </w:tcPr>
          <w:p>
            <w:pPr>
              <w:spacing w:after="40"/>
            </w:pPr>
            <w:r/>
            <w:r>
              <w:rPr>
                <w:b/>
                <w:sz w:val="19"/>
              </w:rPr>
              <w:t>Domain Owners</w:t>
            </w:r>
          </w:p>
        </w:tc>
        <w:tc>
          <w:tcPr>
            <w:tcW w:type="dxa" w:w="2592"/>
          </w:tcPr>
          <w:p>
            <w:pPr>
              <w:spacing w:after="40"/>
            </w:pPr>
            <w:r/>
            <w:r>
              <w:rPr>
                <w:sz w:val="19"/>
              </w:rPr>
              <w:t>Their business area's data</w:t>
            </w:r>
          </w:p>
        </w:tc>
        <w:tc>
          <w:tcPr>
            <w:tcW w:type="dxa" w:w="4608"/>
          </w:tcPr>
          <w:p>
            <w:pPr>
              <w:spacing w:after="40"/>
            </w:pPr>
            <w:r/>
            <w:r>
              <w:rPr>
                <w:sz w:val="19"/>
              </w:rPr>
              <w:t>Accountable for the data in their domain (Pensions, Employer, Member).</w:t>
            </w:r>
          </w:p>
        </w:tc>
      </w:tr>
      <w:tr>
        <w:tc>
          <w:tcPr>
            <w:tcW w:type="dxa" w:w="2160"/>
          </w:tcPr>
          <w:p>
            <w:pPr>
              <w:spacing w:after="40"/>
            </w:pPr>
            <w:r/>
            <w:r>
              <w:rPr>
                <w:b/>
                <w:sz w:val="19"/>
              </w:rPr>
              <w:t>Data Stewards</w:t>
            </w:r>
          </w:p>
        </w:tc>
        <w:tc>
          <w:tcPr>
            <w:tcW w:type="dxa" w:w="2592"/>
          </w:tcPr>
          <w:p>
            <w:pPr>
              <w:spacing w:after="40"/>
            </w:pPr>
            <w:r/>
            <w:r>
              <w:rPr>
                <w:sz w:val="19"/>
              </w:rPr>
              <w:t>Meaning, quality and access</w:t>
            </w:r>
          </w:p>
        </w:tc>
        <w:tc>
          <w:tcPr>
            <w:tcW w:type="dxa" w:w="4608"/>
          </w:tcPr>
          <w:p>
            <w:pPr>
              <w:spacing w:after="40"/>
            </w:pPr>
            <w:r/>
            <w:r>
              <w:rPr>
                <w:sz w:val="19"/>
              </w:rPr>
              <w:t>Definitions, quality rules and access decisions for their domain.</w:t>
            </w:r>
          </w:p>
        </w:tc>
      </w:tr>
      <w:tr>
        <w:tc>
          <w:tcPr>
            <w:tcW w:type="dxa" w:w="2160"/>
          </w:tcPr>
          <w:p>
            <w:pPr>
              <w:spacing w:after="40"/>
            </w:pPr>
            <w:r/>
            <w:r>
              <w:rPr>
                <w:b/>
                <w:sz w:val="19"/>
              </w:rPr>
              <w:t>Data Product Owners</w:t>
            </w:r>
          </w:p>
        </w:tc>
        <w:tc>
          <w:tcPr>
            <w:tcW w:type="dxa" w:w="2592"/>
          </w:tcPr>
          <w:p>
            <w:pPr>
              <w:spacing w:after="40"/>
            </w:pPr>
            <w:r/>
            <w:r>
              <w:rPr>
                <w:sz w:val="19"/>
              </w:rPr>
              <w:t>Governed Gold products</w:t>
            </w:r>
          </w:p>
        </w:tc>
        <w:tc>
          <w:tcPr>
            <w:tcW w:type="dxa" w:w="4608"/>
          </w:tcPr>
          <w:p>
            <w:pPr>
              <w:spacing w:after="40"/>
            </w:pPr>
            <w:r/>
            <w:r>
              <w:rPr>
                <w:sz w:val="19"/>
              </w:rPr>
              <w:t>Each Gold output has an owner, a documented purpose and a consumer contract.</w:t>
            </w:r>
          </w:p>
        </w:tc>
      </w:tr>
    </w:tbl>
    <w:p>
      <w:pPr>
        <w:spacing w:after="80"/>
      </w:pPr>
    </w:p>
    <w:p>
      <w:pPr>
        <w:pStyle w:val="Heading2"/>
      </w:pPr>
      <w:r>
        <w:t>Tenant guardrails</w:t>
      </w:r>
    </w:p>
    <w:tbl>
      <w:tblPr>
        <w:tblStyle w:val="InfoTable"/>
        <w:tblW w:type="auto" w:w="0"/>
        <w:jc w:val="center"/>
        <w:tblLayout w:type="fixed"/>
        <w:tblLook w:firstColumn="1" w:firstRow="1" w:lastColumn="0" w:lastRow="0" w:noHBand="0" w:noVBand="1" w:val="04A0"/>
      </w:tblPr>
      <w:tblGrid>
        <w:gridCol w:w="4680"/>
        <w:gridCol w:w="4680"/>
      </w:tblGrid>
      <w:tr>
        <w:tc>
          <w:tcPr>
            <w:tcW w:type="dxa" w:w="3744"/>
            <w:shd w:fill="00778A"/>
          </w:tcPr>
          <w:p>
            <w:pPr>
              <w:spacing w:after="40"/>
            </w:pPr>
            <w:r/>
            <w:r>
              <w:rPr>
                <w:b/>
                <w:color w:val="FFFFFF"/>
                <w:sz w:val="19"/>
              </w:rPr>
              <w:t>Tenant setting</w:t>
            </w:r>
          </w:p>
        </w:tc>
        <w:tc>
          <w:tcPr>
            <w:tcW w:type="dxa" w:w="5616"/>
            <w:shd w:fill="00778A"/>
          </w:tcPr>
          <w:p>
            <w:pPr>
              <w:spacing w:after="40"/>
            </w:pPr>
            <w:r/>
            <w:r>
              <w:rPr>
                <w:b/>
                <w:color w:val="FFFFFF"/>
                <w:sz w:val="19"/>
              </w:rPr>
              <w:t>Recommended position</w:t>
            </w:r>
          </w:p>
        </w:tc>
      </w:tr>
      <w:tr>
        <w:tc>
          <w:tcPr>
            <w:tcW w:type="dxa" w:w="3744"/>
          </w:tcPr>
          <w:p>
            <w:pPr>
              <w:spacing w:after="40"/>
            </w:pPr>
            <w:r/>
            <w:r>
              <w:rPr>
                <w:b/>
                <w:sz w:val="19"/>
              </w:rPr>
              <w:t>Service principals can use Fabric APIs</w:t>
            </w:r>
          </w:p>
        </w:tc>
        <w:tc>
          <w:tcPr>
            <w:tcW w:type="dxa" w:w="5616"/>
          </w:tcPr>
          <w:p>
            <w:pPr>
              <w:spacing w:after="40"/>
            </w:pPr>
            <w:r/>
            <w:r>
              <w:rPr>
                <w:sz w:val="19"/>
              </w:rPr>
              <w:t>Enabled only for the BCPC-FAB-SPN-* group, not organisation-wide</w:t>
            </w:r>
          </w:p>
        </w:tc>
      </w:tr>
      <w:tr>
        <w:tc>
          <w:tcPr>
            <w:tcW w:type="dxa" w:w="3744"/>
          </w:tcPr>
          <w:p>
            <w:pPr>
              <w:spacing w:after="40"/>
            </w:pPr>
            <w:r/>
            <w:r>
              <w:rPr>
                <w:b/>
                <w:sz w:val="19"/>
              </w:rPr>
              <w:t>Publish to web</w:t>
            </w:r>
          </w:p>
        </w:tc>
        <w:tc>
          <w:tcPr>
            <w:tcW w:type="dxa" w:w="5616"/>
          </w:tcPr>
          <w:p>
            <w:pPr>
              <w:spacing w:after="40"/>
            </w:pPr>
            <w:r/>
            <w:r>
              <w:rPr>
                <w:sz w:val="19"/>
              </w:rPr>
              <w:t>Disabled</w:t>
            </w:r>
          </w:p>
        </w:tc>
      </w:tr>
      <w:tr>
        <w:tc>
          <w:tcPr>
            <w:tcW w:type="dxa" w:w="3744"/>
          </w:tcPr>
          <w:p>
            <w:pPr>
              <w:spacing w:after="40"/>
            </w:pPr>
            <w:r/>
            <w:r>
              <w:rPr>
                <w:b/>
                <w:sz w:val="19"/>
              </w:rPr>
              <w:t>External / guest sharing</w:t>
            </w:r>
          </w:p>
        </w:tc>
        <w:tc>
          <w:tcPr>
            <w:tcW w:type="dxa" w:w="5616"/>
          </w:tcPr>
          <w:p>
            <w:pPr>
              <w:spacing w:after="40"/>
            </w:pPr>
            <w:r/>
            <w:r>
              <w:rPr>
                <w:sz w:val="19"/>
              </w:rPr>
              <w:t>Disabled, or tightly restricted with approval</w:t>
            </w:r>
          </w:p>
        </w:tc>
      </w:tr>
      <w:tr>
        <w:tc>
          <w:tcPr>
            <w:tcW w:type="dxa" w:w="3744"/>
          </w:tcPr>
          <w:p>
            <w:pPr>
              <w:spacing w:after="40"/>
            </w:pPr>
            <w:r/>
            <w:r>
              <w:rPr>
                <w:b/>
                <w:sz w:val="19"/>
              </w:rPr>
              <w:t>Export and download</w:t>
            </w:r>
          </w:p>
        </w:tc>
        <w:tc>
          <w:tcPr>
            <w:tcW w:type="dxa" w:w="5616"/>
          </w:tcPr>
          <w:p>
            <w:pPr>
              <w:spacing w:after="40"/>
            </w:pPr>
            <w:r/>
            <w:r>
              <w:rPr>
                <w:sz w:val="19"/>
              </w:rPr>
              <w:t>Restricted for sensitive workspaces</w:t>
            </w:r>
          </w:p>
        </w:tc>
      </w:tr>
      <w:tr>
        <w:tc>
          <w:tcPr>
            <w:tcW w:type="dxa" w:w="3744"/>
          </w:tcPr>
          <w:p>
            <w:pPr>
              <w:spacing w:after="40"/>
            </w:pPr>
            <w:r/>
            <w:r>
              <w:rPr>
                <w:b/>
                <w:sz w:val="19"/>
              </w:rPr>
              <w:t>Sensitivity labels</w:t>
            </w:r>
          </w:p>
        </w:tc>
        <w:tc>
          <w:tcPr>
            <w:tcW w:type="dxa" w:w="5616"/>
          </w:tcPr>
          <w:p>
            <w:pPr>
              <w:spacing w:after="40"/>
            </w:pPr>
            <w:r/>
            <w:r>
              <w:rPr>
                <w:sz w:val="19"/>
              </w:rPr>
              <w:t>Enabled and enforced; mandatory labelling on new items</w:t>
            </w:r>
          </w:p>
        </w:tc>
      </w:tr>
      <w:tr>
        <w:tc>
          <w:tcPr>
            <w:tcW w:type="dxa" w:w="3744"/>
          </w:tcPr>
          <w:p>
            <w:pPr>
              <w:spacing w:after="40"/>
            </w:pPr>
            <w:r/>
            <w:r>
              <w:rPr>
                <w:b/>
                <w:sz w:val="19"/>
              </w:rPr>
              <w:t>Audit logging</w:t>
            </w:r>
          </w:p>
        </w:tc>
        <w:tc>
          <w:tcPr>
            <w:tcW w:type="dxa" w:w="5616"/>
          </w:tcPr>
          <w:p>
            <w:pPr>
              <w:spacing w:after="40"/>
            </w:pPr>
            <w:r/>
            <w:r>
              <w:rPr>
                <w:sz w:val="19"/>
              </w:rPr>
              <w:t>Enabled; logs shipped to BCPC's security monitoring</w:t>
            </w:r>
          </w:p>
        </w:tc>
      </w:tr>
      <w:tr>
        <w:tc>
          <w:tcPr>
            <w:tcW w:type="dxa" w:w="3744"/>
          </w:tcPr>
          <w:p>
            <w:pPr>
              <w:spacing w:after="40"/>
            </w:pPr>
            <w:r/>
            <w:r>
              <w:rPr>
                <w:b/>
                <w:sz w:val="19"/>
              </w:rPr>
              <w:t>Workspace creation</w:t>
            </w:r>
          </w:p>
        </w:tc>
        <w:tc>
          <w:tcPr>
            <w:tcW w:type="dxa" w:w="5616"/>
          </w:tcPr>
          <w:p>
            <w:pPr>
              <w:spacing w:after="40"/>
            </w:pPr>
            <w:r/>
            <w:r>
              <w:rPr>
                <w:sz w:val="19"/>
              </w:rPr>
              <w:t>Restricted to the platform team and a request process</w:t>
            </w:r>
          </w:p>
        </w:tc>
      </w:tr>
      <w:tr>
        <w:tc>
          <w:tcPr>
            <w:tcW w:type="dxa" w:w="3744"/>
          </w:tcPr>
          <w:p>
            <w:pPr>
              <w:spacing w:after="40"/>
            </w:pPr>
            <w:r/>
            <w:r>
              <w:rPr>
                <w:b/>
                <w:sz w:val="19"/>
              </w:rPr>
              <w:t>Capacity assignment</w:t>
            </w:r>
          </w:p>
        </w:tc>
        <w:tc>
          <w:tcPr>
            <w:tcW w:type="dxa" w:w="5616"/>
          </w:tcPr>
          <w:p>
            <w:pPr>
              <w:spacing w:after="40"/>
            </w:pPr>
            <w:r/>
            <w:r>
              <w:rPr>
                <w:sz w:val="19"/>
              </w:rPr>
              <w:t>Restricted — controls which workspaces run on which capacity</w:t>
            </w:r>
          </w:p>
        </w:tc>
      </w:tr>
      <w:tr>
        <w:tc>
          <w:tcPr>
            <w:tcW w:type="dxa" w:w="3744"/>
          </w:tcPr>
          <w:p>
            <w:pPr>
              <w:spacing w:after="40"/>
            </w:pPr>
            <w:r/>
            <w:r>
              <w:rPr>
                <w:b/>
                <w:sz w:val="19"/>
              </w:rPr>
              <w:t>Conditional Access</w:t>
            </w:r>
          </w:p>
        </w:tc>
        <w:tc>
          <w:tcPr>
            <w:tcW w:type="dxa" w:w="5616"/>
          </w:tcPr>
          <w:p>
            <w:pPr>
              <w:spacing w:after="40"/>
            </w:pPr>
            <w:r/>
            <w:r>
              <w:rPr>
                <w:sz w:val="19"/>
              </w:rPr>
              <w:t>Enforced on the Fabric and Power BI service</w:t>
            </w:r>
          </w:p>
        </w:tc>
      </w:tr>
    </w:tbl>
    <w:p>
      <w:pPr>
        <w:spacing w:after="80"/>
      </w:pPr>
    </w:p>
    <w:p>
      <w:pPr>
        <w:pStyle w:val="Heading2"/>
      </w:pPr>
      <w:r>
        <w:t>Optional tooling</w:t>
      </w:r>
    </w:p>
    <w:p>
      <w:pPr>
        <w:spacing w:after="120"/>
      </w:pPr>
      <w:r>
        <w:rPr>
          <w:b w:val="0"/>
          <w:i w:val="0"/>
          <w:sz w:val="21"/>
        </w:rPr>
        <w:t>The recommendation is to run on Fabric's built-in governance first — catalog, lineage, endorsement, data quality, audit, row/column security and sensitivity labels — and to add the tools below only where a specific requirement calls for them, since each carries licence and operational cost.</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2016"/>
            <w:shd w:fill="00778A"/>
          </w:tcPr>
          <w:p>
            <w:pPr>
              <w:spacing w:after="40"/>
            </w:pPr>
            <w:r/>
            <w:r>
              <w:rPr>
                <w:b/>
                <w:color w:val="FFFFFF"/>
                <w:sz w:val="19"/>
              </w:rPr>
              <w:t>Tool</w:t>
            </w:r>
          </w:p>
        </w:tc>
        <w:tc>
          <w:tcPr>
            <w:tcW w:type="dxa" w:w="3744"/>
            <w:shd w:fill="00778A"/>
          </w:tcPr>
          <w:p>
            <w:pPr>
              <w:spacing w:after="40"/>
            </w:pPr>
            <w:r/>
            <w:r>
              <w:rPr>
                <w:b/>
                <w:color w:val="FFFFFF"/>
                <w:sz w:val="19"/>
              </w:rPr>
              <w:t>What it adds</w:t>
            </w:r>
          </w:p>
        </w:tc>
        <w:tc>
          <w:tcPr>
            <w:tcW w:type="dxa" w:w="3600"/>
            <w:shd w:fill="00778A"/>
          </w:tcPr>
          <w:p>
            <w:pPr>
              <w:spacing w:after="40"/>
            </w:pPr>
            <w:r/>
            <w:r>
              <w:rPr>
                <w:b/>
                <w:color w:val="FFFFFF"/>
                <w:sz w:val="19"/>
              </w:rPr>
              <w:t>Adopt when</w:t>
            </w:r>
          </w:p>
        </w:tc>
      </w:tr>
      <w:tr>
        <w:tc>
          <w:tcPr>
            <w:tcW w:type="dxa" w:w="2016"/>
          </w:tcPr>
          <w:p>
            <w:pPr>
              <w:spacing w:after="40"/>
            </w:pPr>
            <w:r/>
            <w:r>
              <w:rPr>
                <w:b/>
                <w:sz w:val="19"/>
              </w:rPr>
              <w:t>Microsoft Purview</w:t>
            </w:r>
          </w:p>
        </w:tc>
        <w:tc>
          <w:tcPr>
            <w:tcW w:type="dxa" w:w="3744"/>
          </w:tcPr>
          <w:p>
            <w:pPr>
              <w:spacing w:after="40"/>
            </w:pPr>
            <w:r/>
            <w:r>
              <w:rPr>
                <w:sz w:val="19"/>
              </w:rPr>
              <w:t>Enterprise catalog and data map, glossary at scale, DLP policies for Fabric, unified compliance reporting.</w:t>
            </w:r>
          </w:p>
        </w:tc>
        <w:tc>
          <w:tcPr>
            <w:tcW w:type="dxa" w:w="3600"/>
          </w:tcPr>
          <w:p>
            <w:pPr>
              <w:spacing w:after="40"/>
            </w:pPr>
            <w:r/>
            <w:r>
              <w:rPr>
                <w:sz w:val="19"/>
              </w:rPr>
              <w:t>Governance must span beyond Fabric, or a formal DLP programme is required.</w:t>
            </w:r>
          </w:p>
        </w:tc>
      </w:tr>
      <w:tr>
        <w:tc>
          <w:tcPr>
            <w:tcW w:type="dxa" w:w="2016"/>
          </w:tcPr>
          <w:p>
            <w:pPr>
              <w:spacing w:after="40"/>
            </w:pPr>
            <w:r/>
            <w:r>
              <w:rPr>
                <w:b/>
                <w:sz w:val="19"/>
              </w:rPr>
              <w:t>Microsoft Sentinel</w:t>
            </w:r>
          </w:p>
        </w:tc>
        <w:tc>
          <w:tcPr>
            <w:tcW w:type="dxa" w:w="3744"/>
          </w:tcPr>
          <w:p>
            <w:pPr>
              <w:spacing w:after="40"/>
            </w:pPr>
            <w:r/>
            <w:r>
              <w:rPr>
                <w:sz w:val="19"/>
              </w:rPr>
              <w:t>SIEM — correlation, threat detection and response over Fabric and Entra audit logs.</w:t>
            </w:r>
          </w:p>
        </w:tc>
        <w:tc>
          <w:tcPr>
            <w:tcW w:type="dxa" w:w="3600"/>
          </w:tcPr>
          <w:p>
            <w:pPr>
              <w:spacing w:after="40"/>
            </w:pPr>
            <w:r/>
            <w:r>
              <w:rPr>
                <w:sz w:val="19"/>
              </w:rPr>
              <w:t>A security operations centre is mandated and logs must feed central detection.</w:t>
            </w:r>
          </w:p>
        </w:tc>
      </w:tr>
      <w:tr>
        <w:tc>
          <w:tcPr>
            <w:tcW w:type="dxa" w:w="2016"/>
          </w:tcPr>
          <w:p>
            <w:pPr>
              <w:spacing w:after="40"/>
            </w:pPr>
            <w:r/>
            <w:r>
              <w:rPr>
                <w:b/>
                <w:sz w:val="19"/>
              </w:rPr>
              <w:t>Defender for Cloud</w:t>
            </w:r>
          </w:p>
        </w:tc>
        <w:tc>
          <w:tcPr>
            <w:tcW w:type="dxa" w:w="3744"/>
          </w:tcPr>
          <w:p>
            <w:pPr>
              <w:spacing w:after="40"/>
            </w:pPr>
            <w:r/>
            <w:r>
              <w:rPr>
                <w:sz w:val="19"/>
              </w:rPr>
              <w:t>Posture management for the surrounding Azure resources.</w:t>
            </w:r>
          </w:p>
        </w:tc>
        <w:tc>
          <w:tcPr>
            <w:tcW w:type="dxa" w:w="3600"/>
          </w:tcPr>
          <w:p>
            <w:pPr>
              <w:spacing w:after="40"/>
            </w:pPr>
            <w:r/>
            <w:r>
              <w:rPr>
                <w:sz w:val="19"/>
              </w:rPr>
              <w:t>Broader Azure posture management is in scope.</w:t>
            </w:r>
          </w:p>
        </w:tc>
      </w:tr>
      <w:tr>
        <w:tc>
          <w:tcPr>
            <w:tcW w:type="dxa" w:w="2016"/>
          </w:tcPr>
          <w:p>
            <w:pPr>
              <w:spacing w:after="40"/>
            </w:pPr>
            <w:r/>
            <w:r>
              <w:rPr>
                <w:b/>
                <w:sz w:val="19"/>
              </w:rPr>
              <w:t>Customer-managed keys</w:t>
            </w:r>
          </w:p>
        </w:tc>
        <w:tc>
          <w:tcPr>
            <w:tcW w:type="dxa" w:w="3744"/>
          </w:tcPr>
          <w:p>
            <w:pPr>
              <w:spacing w:after="40"/>
            </w:pPr>
            <w:r/>
            <w:r>
              <w:rPr>
                <w:sz w:val="19"/>
              </w:rPr>
              <w:t>Bring-your-own encryption keys for OneLake and capacity.</w:t>
            </w:r>
          </w:p>
        </w:tc>
        <w:tc>
          <w:tcPr>
            <w:tcW w:type="dxa" w:w="3600"/>
          </w:tcPr>
          <w:p>
            <w:pPr>
              <w:spacing w:after="40"/>
            </w:pPr>
            <w:r/>
            <w:r>
              <w:rPr>
                <w:sz w:val="19"/>
              </w:rPr>
              <w:t>Policy requires key custody beyond Microsoft-managed encryption.</w:t>
            </w:r>
          </w:p>
        </w:tc>
      </w:tr>
    </w:tbl>
    <w:p>
      <w:pPr>
        <w:spacing w:after="80"/>
      </w:pPr>
    </w:p>
    <w:p>
      <w:pPr>
        <w:spacing w:after="120"/>
      </w:pPr>
      <w:r>
        <w:rPr>
          <w:b w:val="0"/>
          <w:i/>
          <w:sz w:val="20"/>
        </w:rPr>
        <w:t>Neither Purview nor Sentinel is required for the platform to be secure and governed at launch. Purview is the most likely near-term addition given classification and DLP expectations for a crown corporation.</w:t>
      </w:r>
    </w:p>
    <w:p>
      <w:pPr>
        <w:pStyle w:val="Heading1"/>
      </w:pPr>
      <w:r>
        <w:t>Connectivity and gateway architecture</w:t>
      </w:r>
    </w:p>
    <w:p>
      <w:pPr>
        <w:spacing w:after="120"/>
      </w:pPr>
      <w:r>
        <w:rPr>
          <w:b w:val="0"/>
          <w:i w:val="0"/>
          <w:sz w:val="21"/>
        </w:rPr>
        <w:t>Two gateways are used, each for the role Microsoft supports it in. They are complementary, not competing.</w:t>
      </w:r>
    </w:p>
    <w:p>
      <w:pPr>
        <w:jc w:val="center"/>
      </w:pPr>
      <w:r>
        <w:drawing>
          <wp:inline>
            <wp:extent cx="5943600" cy="2750024"/>
            <wp:docPr id="4" name="Picture 4"/>
            <wp:cNvGraphicFramePr>
              <a:graphicFrameLocks noChangeAspect="1"/>
            </wp:cNvGraphicFramePr>
            <a:graphic>
              <a:graphicData uri="http://schemas.openxmlformats.org/drawingml/2006/picture">
                <pic:pic>
                  <pic:nvPicPr>
                    <pic:cNvPr id="0" name="d4_gateway.png"/>
                    <pic:cNvPicPr/>
                  </pic:nvPicPr>
                  <pic:blipFill>
                    <a:blip r:embed="rId49"/>
                    <a:stretch>
                      <a:fillRect/>
                    </a:stretch>
                  </pic:blipFill>
                  <pic:spPr>
                    <a:xfrm>
                      <a:off x="0" y="0"/>
                      <a:ext cx="5943600" cy="2750024"/>
                    </a:xfrm>
                    <a:prstGeom prst="rect"/>
                  </pic:spPr>
                </pic:pic>
              </a:graphicData>
            </a:graphic>
          </wp:inline>
        </w:drawing>
      </w:r>
    </w:p>
    <w:p>
      <w:pPr>
        <w:spacing w:after="200"/>
        <w:jc w:val="center"/>
      </w:pPr>
      <w:r>
        <w:rPr>
          <w:b w:val="0"/>
          <w:i/>
          <w:color w:val="4D4D4F"/>
          <w:sz w:val="18"/>
        </w:rPr>
        <w:t>Figure 4 — Private connectivity. Path A is the Microsoft-managed default; Path B is the self-hosted path, kept to the minimum necessary footprint.</w:t>
      </w:r>
    </w:p>
    <w:tbl>
      <w:tblPr>
        <w:tblStyle w:val="InfoTable"/>
        <w:tblW w:type="auto" w:w="0"/>
        <w:jc w:val="center"/>
        <w:tblLayout w:type="fixed"/>
        <w:tblLook w:firstColumn="1" w:firstRow="1" w:lastColumn="0" w:lastRow="0" w:noHBand="0" w:noVBand="1" w:val="04A0"/>
      </w:tblPr>
      <w:tblGrid>
        <w:gridCol w:w="3120"/>
        <w:gridCol w:w="3120"/>
        <w:gridCol w:w="3120"/>
      </w:tblGrid>
      <w:tr>
        <w:tc>
          <w:tcPr>
            <w:tcW w:type="dxa" w:w="2160"/>
            <w:shd w:fill="00778A"/>
          </w:tcPr>
          <w:p>
            <w:pPr>
              <w:spacing w:after="40"/>
            </w:pPr>
            <w:r/>
            <w:r>
              <w:rPr>
                <w:b/>
                <w:color w:val="FFFFFF"/>
                <w:sz w:val="18"/>
              </w:rPr>
              <w:t>Dimension</w:t>
            </w:r>
          </w:p>
        </w:tc>
        <w:tc>
          <w:tcPr>
            <w:tcW w:type="dxa" w:w="3600"/>
            <w:shd w:fill="00778A"/>
          </w:tcPr>
          <w:p>
            <w:pPr>
              <w:spacing w:after="40"/>
            </w:pPr>
            <w:r/>
            <w:r>
              <w:rPr>
                <w:b/>
                <w:color w:val="FFFFFF"/>
                <w:sz w:val="18"/>
              </w:rPr>
              <w:t>VNet data gateway</w:t>
            </w:r>
          </w:p>
        </w:tc>
        <w:tc>
          <w:tcPr>
            <w:tcW w:type="dxa" w:w="3600"/>
            <w:shd w:fill="00778A"/>
          </w:tcPr>
          <w:p>
            <w:pPr>
              <w:spacing w:after="40"/>
            </w:pPr>
            <w:r/>
            <w:r>
              <w:rPr>
                <w:b/>
                <w:color w:val="FFFFFF"/>
                <w:sz w:val="18"/>
              </w:rPr>
              <w:t>On-premises data gateway</w:t>
            </w:r>
          </w:p>
        </w:tc>
      </w:tr>
      <w:tr>
        <w:tc>
          <w:tcPr>
            <w:tcW w:type="dxa" w:w="2160"/>
          </w:tcPr>
          <w:p>
            <w:pPr>
              <w:spacing w:after="40"/>
            </w:pPr>
            <w:r/>
            <w:r>
              <w:rPr>
                <w:b/>
                <w:sz w:val="18"/>
              </w:rPr>
              <w:t>Hosting</w:t>
            </w:r>
          </w:p>
        </w:tc>
        <w:tc>
          <w:tcPr>
            <w:tcW w:type="dxa" w:w="3600"/>
          </w:tcPr>
          <w:p>
            <w:pPr>
              <w:spacing w:after="40"/>
            </w:pPr>
            <w:r/>
            <w:r>
              <w:rPr>
                <w:sz w:val="18"/>
              </w:rPr>
              <w:t>Microsoft-managed — nothing to install or patch</w:t>
            </w:r>
          </w:p>
        </w:tc>
        <w:tc>
          <w:tcPr>
            <w:tcW w:type="dxa" w:w="3600"/>
          </w:tcPr>
          <w:p>
            <w:pPr>
              <w:spacing w:after="40"/>
            </w:pPr>
            <w:r/>
            <w:r>
              <w:rPr>
                <w:sz w:val="18"/>
              </w:rPr>
              <w:t>BCPC-hosted Windows virtual machines, patched monthly</w:t>
            </w:r>
          </w:p>
        </w:tc>
      </w:tr>
      <w:tr>
        <w:tc>
          <w:tcPr>
            <w:tcW w:type="dxa" w:w="2160"/>
          </w:tcPr>
          <w:p>
            <w:pPr>
              <w:spacing w:after="40"/>
            </w:pPr>
            <w:r/>
            <w:r>
              <w:rPr>
                <w:b/>
                <w:sz w:val="18"/>
              </w:rPr>
              <w:t>Where it lives</w:t>
            </w:r>
          </w:p>
        </w:tc>
        <w:tc>
          <w:tcPr>
            <w:tcW w:type="dxa" w:w="3600"/>
          </w:tcPr>
          <w:p>
            <w:pPr>
              <w:spacing w:after="40"/>
            </w:pPr>
            <w:r/>
            <w:r>
              <w:rPr>
                <w:sz w:val="18"/>
              </w:rPr>
              <w:t>Injected into a delegated subnet of the BCPC virtual network</w:t>
            </w:r>
          </w:p>
        </w:tc>
        <w:tc>
          <w:tcPr>
            <w:tcW w:type="dxa" w:w="3600"/>
          </w:tcPr>
          <w:p>
            <w:pPr>
              <w:spacing w:after="40"/>
            </w:pPr>
            <w:r/>
            <w:r>
              <w:rPr>
                <w:sz w:val="18"/>
              </w:rPr>
              <w:t>A machine BCPC owns, on-premises or an Azure VM</w:t>
            </w:r>
          </w:p>
        </w:tc>
      </w:tr>
      <w:tr>
        <w:tc>
          <w:tcPr>
            <w:tcW w:type="dxa" w:w="2160"/>
          </w:tcPr>
          <w:p>
            <w:pPr>
              <w:spacing w:after="40"/>
            </w:pPr>
            <w:r/>
            <w:r>
              <w:rPr>
                <w:b/>
                <w:sz w:val="18"/>
              </w:rPr>
              <w:t>Reaches</w:t>
            </w:r>
          </w:p>
        </w:tc>
        <w:tc>
          <w:tcPr>
            <w:tcW w:type="dxa" w:w="3600"/>
          </w:tcPr>
          <w:p>
            <w:pPr>
              <w:spacing w:after="40"/>
            </w:pPr>
            <w:r/>
            <w:r>
              <w:rPr>
                <w:sz w:val="18"/>
              </w:rPr>
              <w:t>Azure and cloud sources over private endpoint or the virtual network</w:t>
            </w:r>
          </w:p>
        </w:tc>
        <w:tc>
          <w:tcPr>
            <w:tcW w:type="dxa" w:w="3600"/>
          </w:tcPr>
          <w:p>
            <w:pPr>
              <w:spacing w:after="40"/>
            </w:pPr>
            <w:r/>
            <w:r>
              <w:rPr>
                <w:sz w:val="18"/>
              </w:rPr>
              <w:t>On-premises and private sources; VNet resources when hosted on an Azure VM</w:t>
            </w:r>
          </w:p>
        </w:tc>
      </w:tr>
      <w:tr>
        <w:tc>
          <w:tcPr>
            <w:tcW w:type="dxa" w:w="2160"/>
          </w:tcPr>
          <w:p>
            <w:pPr>
              <w:spacing w:after="40"/>
            </w:pPr>
            <w:r/>
            <w:r>
              <w:rPr>
                <w:b/>
                <w:sz w:val="18"/>
              </w:rPr>
              <w:t>Private connectivity</w:t>
            </w:r>
          </w:p>
        </w:tc>
        <w:tc>
          <w:tcPr>
            <w:tcW w:type="dxa" w:w="3600"/>
          </w:tcPr>
          <w:p>
            <w:pPr>
              <w:spacing w:after="40"/>
            </w:pPr>
            <w:r/>
            <w:r>
              <w:rPr>
                <w:sz w:val="18"/>
              </w:rPr>
              <w:t>Private endpoints / Private Link — no public exposure</w:t>
            </w:r>
          </w:p>
        </w:tc>
        <w:tc>
          <w:tcPr>
            <w:tcW w:type="dxa" w:w="3600"/>
          </w:tcPr>
          <w:p>
            <w:pPr>
              <w:spacing w:after="40"/>
            </w:pPr>
            <w:r/>
            <w:r>
              <w:rPr>
                <w:sz w:val="18"/>
              </w:rPr>
              <w:t>Outbound-only; private over ExpressRoute or VPN</w:t>
            </w:r>
          </w:p>
        </w:tc>
      </w:tr>
      <w:tr>
        <w:tc>
          <w:tcPr>
            <w:tcW w:type="dxa" w:w="2160"/>
          </w:tcPr>
          <w:p>
            <w:pPr>
              <w:spacing w:after="40"/>
            </w:pPr>
            <w:r/>
            <w:r>
              <w:rPr>
                <w:b/>
                <w:sz w:val="18"/>
              </w:rPr>
              <w:t>Oracle mirroring</w:t>
            </w:r>
          </w:p>
        </w:tc>
        <w:tc>
          <w:tcPr>
            <w:tcW w:type="dxa" w:w="3600"/>
          </w:tcPr>
          <w:p>
            <w:pPr>
              <w:spacing w:after="40"/>
            </w:pPr>
            <w:r/>
            <w:r>
              <w:rPr>
                <w:sz w:val="18"/>
              </w:rPr>
              <w:t>Not supported</w:t>
            </w:r>
          </w:p>
        </w:tc>
        <w:tc>
          <w:tcPr>
            <w:tcW w:type="dxa" w:w="3600"/>
          </w:tcPr>
          <w:p>
            <w:pPr>
              <w:spacing w:after="40"/>
            </w:pPr>
            <w:r/>
            <w:r>
              <w:rPr>
                <w:sz w:val="18"/>
              </w:rPr>
              <w:t>Required — this is the only supported gateway</w:t>
            </w:r>
          </w:p>
        </w:tc>
      </w:tr>
      <w:tr>
        <w:tc>
          <w:tcPr>
            <w:tcW w:type="dxa" w:w="2160"/>
          </w:tcPr>
          <w:p>
            <w:pPr>
              <w:spacing w:after="40"/>
            </w:pPr>
            <w:r/>
            <w:r>
              <w:rPr>
                <w:b/>
                <w:sz w:val="18"/>
              </w:rPr>
              <w:t>High availability</w:t>
            </w:r>
          </w:p>
        </w:tc>
        <w:tc>
          <w:tcPr>
            <w:tcW w:type="dxa" w:w="3600"/>
          </w:tcPr>
          <w:p>
            <w:pPr>
              <w:spacing w:after="40"/>
            </w:pPr>
            <w:r/>
            <w:r>
              <w:rPr>
                <w:sz w:val="18"/>
              </w:rPr>
              <w:t>Managed by Microsoft</w:t>
            </w:r>
          </w:p>
        </w:tc>
        <w:tc>
          <w:tcPr>
            <w:tcW w:type="dxa" w:w="3600"/>
          </w:tcPr>
          <w:p>
            <w:pPr>
              <w:spacing w:after="40"/>
            </w:pPr>
            <w:r/>
            <w:r>
              <w:rPr>
                <w:sz w:val="18"/>
              </w:rPr>
              <w:t>BCPC clusters the gateway machines</w:t>
            </w:r>
          </w:p>
        </w:tc>
      </w:tr>
      <w:tr>
        <w:tc>
          <w:tcPr>
            <w:tcW w:type="dxa" w:w="2160"/>
          </w:tcPr>
          <w:p>
            <w:pPr>
              <w:spacing w:after="40"/>
            </w:pPr>
            <w:r/>
            <w:r>
              <w:rPr>
                <w:b/>
                <w:sz w:val="18"/>
              </w:rPr>
              <w:t>Capacity requirement</w:t>
            </w:r>
          </w:p>
        </w:tc>
        <w:tc>
          <w:tcPr>
            <w:tcW w:type="dxa" w:w="3600"/>
          </w:tcPr>
          <w:p>
            <w:pPr>
              <w:spacing w:after="40"/>
            </w:pPr>
            <w:r/>
            <w:r>
              <w:rPr>
                <w:sz w:val="18"/>
              </w:rPr>
              <w:t>P / F / A4+ SKU; F8 or above recommended</w:t>
            </w:r>
          </w:p>
        </w:tc>
        <w:tc>
          <w:tcPr>
            <w:tcW w:type="dxa" w:w="3600"/>
          </w:tcPr>
          <w:p>
            <w:pPr>
              <w:spacing w:after="40"/>
            </w:pPr>
            <w:r/>
            <w:r>
              <w:rPr>
                <w:sz w:val="18"/>
              </w:rPr>
              <w:t>Any</w:t>
            </w:r>
          </w:p>
        </w:tc>
      </w:tr>
      <w:tr>
        <w:tc>
          <w:tcPr>
            <w:tcW w:type="dxa" w:w="2160"/>
          </w:tcPr>
          <w:p>
            <w:pPr>
              <w:spacing w:after="40"/>
            </w:pPr>
            <w:r/>
            <w:r>
              <w:rPr>
                <w:b/>
                <w:sz w:val="18"/>
              </w:rPr>
              <w:t>Operational cost</w:t>
            </w:r>
          </w:p>
        </w:tc>
        <w:tc>
          <w:tcPr>
            <w:tcW w:type="dxa" w:w="3600"/>
          </w:tcPr>
          <w:p>
            <w:pPr>
              <w:spacing w:after="40"/>
            </w:pPr>
            <w:r/>
            <w:r>
              <w:rPr>
                <w:sz w:val="18"/>
              </w:rPr>
              <w:t>Lower — managed hardware</w:t>
            </w:r>
          </w:p>
        </w:tc>
        <w:tc>
          <w:tcPr>
            <w:tcW w:type="dxa" w:w="3600"/>
          </w:tcPr>
          <w:p>
            <w:pPr>
              <w:spacing w:after="40"/>
            </w:pPr>
            <w:r/>
            <w:r>
              <w:rPr>
                <w:sz w:val="18"/>
              </w:rPr>
              <w:t>Virtual machine cost, patching, clustering and monitoring</w:t>
            </w:r>
          </w:p>
        </w:tc>
      </w:tr>
    </w:tbl>
    <w:p>
      <w:pPr>
        <w:spacing w:after="80"/>
      </w:pPr>
    </w:p>
    <w:p>
      <w:pPr>
        <w:pStyle w:val="Heading2"/>
      </w:pPr>
      <w:r>
        <w:t>Which gateway a mirrored source needs</w:t>
      </w:r>
    </w:p>
    <w:p>
      <w:pPr>
        <w:spacing w:after="120"/>
      </w:pPr>
      <w:r>
        <w:rPr>
          <w:b w:val="0"/>
          <w:i w:val="0"/>
          <w:sz w:val="21"/>
        </w:rPr>
        <w:t>A gateway is not an Oracle-only concern: any mirroring source behind a firewall needs one. What differs is which gateway each source accepts.</w:t>
      </w:r>
    </w:p>
    <w:tbl>
      <w:tblPr>
        <w:tblStyle w:val="InfoTable"/>
        <w:tblW w:type="auto" w:w="0"/>
        <w:jc w:val="center"/>
        <w:tblLayout w:type="fixed"/>
        <w:tblLook w:firstColumn="1" w:firstRow="1" w:lastColumn="0" w:lastRow="0" w:noHBand="0" w:noVBand="1" w:val="04A0"/>
      </w:tblPr>
      <w:tblGrid>
        <w:gridCol w:w="2340"/>
        <w:gridCol w:w="2340"/>
        <w:gridCol w:w="2340"/>
        <w:gridCol w:w="2340"/>
      </w:tblGrid>
      <w:tr>
        <w:tc>
          <w:tcPr>
            <w:tcW w:type="dxa" w:w="3312"/>
            <w:shd w:fill="00778A"/>
          </w:tcPr>
          <w:p>
            <w:pPr>
              <w:spacing w:after="40"/>
            </w:pPr>
            <w:r/>
            <w:r>
              <w:rPr>
                <w:b/>
                <w:color w:val="FFFFFF"/>
                <w:sz w:val="18"/>
              </w:rPr>
              <w:t>Mirroring source</w:t>
            </w:r>
          </w:p>
        </w:tc>
        <w:tc>
          <w:tcPr>
            <w:tcW w:type="dxa" w:w="1872"/>
            <w:shd w:fill="00778A"/>
          </w:tcPr>
          <w:p>
            <w:pPr>
              <w:spacing w:after="40"/>
            </w:pPr>
            <w:r/>
            <w:r>
              <w:rPr>
                <w:b/>
                <w:color w:val="FFFFFF"/>
                <w:sz w:val="18"/>
              </w:rPr>
              <w:t>On-premises gateway</w:t>
            </w:r>
          </w:p>
        </w:tc>
        <w:tc>
          <w:tcPr>
            <w:tcW w:type="dxa" w:w="1584"/>
            <w:shd w:fill="00778A"/>
          </w:tcPr>
          <w:p>
            <w:pPr>
              <w:spacing w:after="40"/>
            </w:pPr>
            <w:r/>
            <w:r>
              <w:rPr>
                <w:b/>
                <w:color w:val="FFFFFF"/>
                <w:sz w:val="18"/>
              </w:rPr>
              <w:t>VNet gateway</w:t>
            </w:r>
          </w:p>
        </w:tc>
        <w:tc>
          <w:tcPr>
            <w:tcW w:type="dxa" w:w="2592"/>
            <w:shd w:fill="00778A"/>
          </w:tcPr>
          <w:p>
            <w:pPr>
              <w:spacing w:after="40"/>
            </w:pPr>
            <w:r/>
            <w:r>
              <w:rPr>
                <w:b/>
                <w:color w:val="FFFFFF"/>
                <w:sz w:val="18"/>
              </w:rPr>
              <w:t>Note</w:t>
            </w:r>
          </w:p>
        </w:tc>
      </w:tr>
      <w:tr>
        <w:tc>
          <w:tcPr>
            <w:tcW w:type="dxa" w:w="3312"/>
          </w:tcPr>
          <w:p>
            <w:pPr>
              <w:spacing w:after="40"/>
            </w:pPr>
            <w:r/>
            <w:r>
              <w:rPr>
                <w:b/>
                <w:sz w:val="18"/>
              </w:rPr>
              <w:t>Oracle (on-prem, Azure VM, OCI, Exadata)</w:t>
            </w:r>
          </w:p>
        </w:tc>
        <w:tc>
          <w:tcPr>
            <w:tcW w:type="dxa" w:w="1872"/>
          </w:tcPr>
          <w:p>
            <w:pPr>
              <w:spacing w:after="40"/>
            </w:pPr>
            <w:r/>
            <w:r>
              <w:rPr>
                <w:sz w:val="18"/>
              </w:rPr>
              <w:t>Required</w:t>
            </w:r>
          </w:p>
        </w:tc>
        <w:tc>
          <w:tcPr>
            <w:tcW w:type="dxa" w:w="1584"/>
          </w:tcPr>
          <w:p>
            <w:pPr>
              <w:spacing w:after="40"/>
            </w:pPr>
            <w:r/>
            <w:r>
              <w:rPr>
                <w:sz w:val="18"/>
              </w:rPr>
              <w:t>Not supported</w:t>
            </w:r>
          </w:p>
        </w:tc>
        <w:tc>
          <w:tcPr>
            <w:tcW w:type="dxa" w:w="2592"/>
          </w:tcPr>
          <w:p>
            <w:pPr>
              <w:spacing w:after="40"/>
            </w:pPr>
            <w:r/>
            <w:r>
              <w:rPr>
                <w:sz w:val="18"/>
              </w:rPr>
              <w:t>Mandatory regardless of reachability</w:t>
            </w:r>
          </w:p>
        </w:tc>
      </w:tr>
      <w:tr>
        <w:tc>
          <w:tcPr>
            <w:tcW w:type="dxa" w:w="3312"/>
          </w:tcPr>
          <w:p>
            <w:pPr>
              <w:spacing w:after="40"/>
            </w:pPr>
            <w:r/>
            <w:r>
              <w:rPr>
                <w:b/>
                <w:sz w:val="18"/>
              </w:rPr>
              <w:t>SQL Server</w:t>
            </w:r>
          </w:p>
        </w:tc>
        <w:tc>
          <w:tcPr>
            <w:tcW w:type="dxa" w:w="1872"/>
          </w:tcPr>
          <w:p>
            <w:pPr>
              <w:spacing w:after="40"/>
            </w:pPr>
            <w:r/>
            <w:r>
              <w:rPr>
                <w:sz w:val="18"/>
              </w:rPr>
              <w:t>Yes</w:t>
            </w:r>
          </w:p>
        </w:tc>
        <w:tc>
          <w:tcPr>
            <w:tcW w:type="dxa" w:w="1584"/>
          </w:tcPr>
          <w:p>
            <w:pPr>
              <w:spacing w:after="40"/>
            </w:pPr>
            <w:r/>
            <w:r>
              <w:rPr>
                <w:sz w:val="18"/>
              </w:rPr>
              <w:t>Yes</w:t>
            </w:r>
          </w:p>
        </w:tc>
        <w:tc>
          <w:tcPr>
            <w:tcW w:type="dxa" w:w="2592"/>
          </w:tcPr>
          <w:p>
            <w:pPr>
              <w:spacing w:after="40"/>
            </w:pPr>
            <w:r/>
            <w:r>
              <w:rPr>
                <w:sz w:val="18"/>
              </w:rPr>
              <w:t>Either gateway when behind a firewall</w:t>
            </w:r>
          </w:p>
        </w:tc>
      </w:tr>
      <w:tr>
        <w:tc>
          <w:tcPr>
            <w:tcW w:type="dxa" w:w="3312"/>
          </w:tcPr>
          <w:p>
            <w:pPr>
              <w:spacing w:after="40"/>
            </w:pPr>
            <w:r/>
            <w:r>
              <w:rPr>
                <w:b/>
                <w:sz w:val="18"/>
              </w:rPr>
              <w:t>Snowflake</w:t>
            </w:r>
          </w:p>
        </w:tc>
        <w:tc>
          <w:tcPr>
            <w:tcW w:type="dxa" w:w="1872"/>
          </w:tcPr>
          <w:p>
            <w:pPr>
              <w:spacing w:after="40"/>
            </w:pPr>
            <w:r/>
            <w:r>
              <w:rPr>
                <w:sz w:val="18"/>
              </w:rPr>
              <w:t>Yes</w:t>
            </w:r>
          </w:p>
        </w:tc>
        <w:tc>
          <w:tcPr>
            <w:tcW w:type="dxa" w:w="1584"/>
          </w:tcPr>
          <w:p>
            <w:pPr>
              <w:spacing w:after="40"/>
            </w:pPr>
            <w:r/>
            <w:r>
              <w:rPr>
                <w:sz w:val="18"/>
              </w:rPr>
              <w:t>Yes</w:t>
            </w:r>
          </w:p>
        </w:tc>
        <w:tc>
          <w:tcPr>
            <w:tcW w:type="dxa" w:w="2592"/>
          </w:tcPr>
          <w:p>
            <w:pPr>
              <w:spacing w:after="40"/>
            </w:pPr>
            <w:r/>
            <w:r>
              <w:rPr>
                <w:sz w:val="18"/>
              </w:rPr>
              <w:t>Private Link to Fabric not yet supported</w:t>
            </w:r>
          </w:p>
        </w:tc>
      </w:tr>
      <w:tr>
        <w:tc>
          <w:tcPr>
            <w:tcW w:type="dxa" w:w="3312"/>
          </w:tcPr>
          <w:p>
            <w:pPr>
              <w:spacing w:after="40"/>
            </w:pPr>
            <w:r/>
            <w:r>
              <w:rPr>
                <w:b/>
                <w:sz w:val="18"/>
              </w:rPr>
              <w:t>Azure SQL Database / Managed Instance</w:t>
            </w:r>
          </w:p>
        </w:tc>
        <w:tc>
          <w:tcPr>
            <w:tcW w:type="dxa" w:w="1872"/>
          </w:tcPr>
          <w:p>
            <w:pPr>
              <w:spacing w:after="40"/>
            </w:pPr>
            <w:r/>
            <w:r>
              <w:rPr>
                <w:sz w:val="18"/>
              </w:rPr>
              <w:t>Yes</w:t>
            </w:r>
          </w:p>
        </w:tc>
        <w:tc>
          <w:tcPr>
            <w:tcW w:type="dxa" w:w="1584"/>
          </w:tcPr>
          <w:p>
            <w:pPr>
              <w:spacing w:after="40"/>
            </w:pPr>
            <w:r/>
            <w:r>
              <w:rPr>
                <w:sz w:val="18"/>
              </w:rPr>
              <w:t>Yes</w:t>
            </w:r>
          </w:p>
        </w:tc>
        <w:tc>
          <w:tcPr>
            <w:tcW w:type="dxa" w:w="2592"/>
          </w:tcPr>
          <w:p>
            <w:pPr>
              <w:spacing w:after="40"/>
            </w:pPr>
            <w:r/>
            <w:r>
              <w:rPr>
                <w:sz w:val="18"/>
              </w:rPr>
              <w:t>Either, when not public</w:t>
            </w:r>
          </w:p>
        </w:tc>
      </w:tr>
      <w:tr>
        <w:tc>
          <w:tcPr>
            <w:tcW w:type="dxa" w:w="3312"/>
          </w:tcPr>
          <w:p>
            <w:pPr>
              <w:spacing w:after="40"/>
            </w:pPr>
            <w:r/>
            <w:r>
              <w:rPr>
                <w:b/>
                <w:sz w:val="18"/>
              </w:rPr>
              <w:t>Azure Database for PostgreSQL</w:t>
            </w:r>
          </w:p>
        </w:tc>
        <w:tc>
          <w:tcPr>
            <w:tcW w:type="dxa" w:w="1872"/>
          </w:tcPr>
          <w:p>
            <w:pPr>
              <w:spacing w:after="40"/>
            </w:pPr>
            <w:r/>
            <w:r>
              <w:rPr>
                <w:sz w:val="18"/>
              </w:rPr>
              <w:t>—</w:t>
            </w:r>
          </w:p>
        </w:tc>
        <w:tc>
          <w:tcPr>
            <w:tcW w:type="dxa" w:w="1584"/>
          </w:tcPr>
          <w:p>
            <w:pPr>
              <w:spacing w:after="40"/>
            </w:pPr>
            <w:r/>
            <w:r>
              <w:rPr>
                <w:sz w:val="18"/>
              </w:rPr>
              <w:t>Yes</w:t>
            </w:r>
          </w:p>
        </w:tc>
        <w:tc>
          <w:tcPr>
            <w:tcW w:type="dxa" w:w="2592"/>
          </w:tcPr>
          <w:p>
            <w:pPr>
              <w:spacing w:after="40"/>
            </w:pPr>
            <w:r/>
            <w:r>
              <w:rPr>
                <w:sz w:val="18"/>
              </w:rPr>
              <w:t>VNet gateway for private servers</w:t>
            </w:r>
          </w:p>
        </w:tc>
      </w:tr>
      <w:tr>
        <w:tc>
          <w:tcPr>
            <w:tcW w:type="dxa" w:w="3312"/>
          </w:tcPr>
          <w:p>
            <w:pPr>
              <w:spacing w:after="40"/>
            </w:pPr>
            <w:r/>
            <w:r>
              <w:rPr>
                <w:b/>
                <w:sz w:val="18"/>
              </w:rPr>
              <w:t>Google BigQuery (preview)</w:t>
            </w:r>
          </w:p>
        </w:tc>
        <w:tc>
          <w:tcPr>
            <w:tcW w:type="dxa" w:w="1872"/>
          </w:tcPr>
          <w:p>
            <w:pPr>
              <w:spacing w:after="40"/>
            </w:pPr>
            <w:r/>
            <w:r>
              <w:rPr>
                <w:sz w:val="18"/>
              </w:rPr>
              <w:t>Yes</w:t>
            </w:r>
          </w:p>
        </w:tc>
        <w:tc>
          <w:tcPr>
            <w:tcW w:type="dxa" w:w="1584"/>
          </w:tcPr>
          <w:p>
            <w:pPr>
              <w:spacing w:after="40"/>
            </w:pPr>
            <w:r/>
            <w:r>
              <w:rPr>
                <w:sz w:val="18"/>
              </w:rPr>
              <w:t>—</w:t>
            </w:r>
          </w:p>
        </w:tc>
        <w:tc>
          <w:tcPr>
            <w:tcW w:type="dxa" w:w="2592"/>
          </w:tcPr>
          <w:p>
            <w:pPr>
              <w:spacing w:after="40"/>
            </w:pPr>
            <w:r/>
            <w:r>
              <w:rPr>
                <w:sz w:val="18"/>
              </w:rPr>
              <w:t>On-premises gateway</w:t>
            </w:r>
          </w:p>
        </w:tc>
      </w:tr>
      <w:tr>
        <w:tc>
          <w:tcPr>
            <w:tcW w:type="dxa" w:w="3312"/>
          </w:tcPr>
          <w:p>
            <w:pPr>
              <w:spacing w:after="40"/>
            </w:pPr>
            <w:r/>
            <w:r>
              <w:rPr>
                <w:b/>
                <w:sz w:val="18"/>
              </w:rPr>
              <w:t>Cosmos DB, Fabric SQL DB, open mirroring</w:t>
            </w:r>
          </w:p>
        </w:tc>
        <w:tc>
          <w:tcPr>
            <w:tcW w:type="dxa" w:w="1872"/>
          </w:tcPr>
          <w:p>
            <w:pPr>
              <w:spacing w:after="40"/>
            </w:pPr>
            <w:r/>
            <w:r>
              <w:rPr>
                <w:sz w:val="18"/>
              </w:rPr>
              <w:t>—</w:t>
            </w:r>
          </w:p>
        </w:tc>
        <w:tc>
          <w:tcPr>
            <w:tcW w:type="dxa" w:w="1584"/>
          </w:tcPr>
          <w:p>
            <w:pPr>
              <w:spacing w:after="40"/>
            </w:pPr>
            <w:r/>
            <w:r>
              <w:rPr>
                <w:sz w:val="18"/>
              </w:rPr>
              <w:t>—</w:t>
            </w:r>
          </w:p>
        </w:tc>
        <w:tc>
          <w:tcPr>
            <w:tcW w:type="dxa" w:w="2592"/>
          </w:tcPr>
          <w:p>
            <w:pPr>
              <w:spacing w:after="40"/>
            </w:pPr>
            <w:r/>
            <w:r>
              <w:rPr>
                <w:sz w:val="18"/>
              </w:rPr>
              <w:t>No gateway in the replication path</w:t>
            </w:r>
          </w:p>
        </w:tc>
      </w:tr>
    </w:tbl>
    <w:p>
      <w:pPr>
        <w:spacing w:after="80"/>
      </w:pPr>
    </w:p>
    <w:p>
      <w:pPr>
        <w:pStyle w:val="Heading2"/>
      </w:pPr>
      <w:r>
        <w:t>Position for BCPC</w:t>
      </w:r>
    </w:p>
    <w:p>
      <w:pPr>
        <w:pStyle w:val="ListParagraph"/>
        <w:spacing w:after="60"/>
        <w:ind w:left="432"/>
        <w:numPr>
          <w:ilvl w:val="0"/>
          <w:numId w:val="1"/>
        </w:numPr>
      </w:pPr>
      <w:r>
        <w:rPr>
          <w:b/>
          <w:sz w:val="21"/>
        </w:rPr>
        <w:t xml:space="preserve">Short term — </w:t>
      </w:r>
      <w:r>
        <w:rPr>
          <w:sz w:val="21"/>
        </w:rPr>
        <w:t>reuse the existing VNet data gateway for Azure and private-endpoint sources and for pipeline ingestion; stand up a dedicated, highly available on-premises gateway only where it is required, principally Oracle mirroring.</w:t>
      </w:r>
    </w:p>
    <w:p>
      <w:pPr>
        <w:pStyle w:val="ListParagraph"/>
        <w:spacing w:after="60"/>
        <w:ind w:left="432"/>
        <w:numPr>
          <w:ilvl w:val="0"/>
          <w:numId w:val="1"/>
        </w:numPr>
      </w:pPr>
      <w:r>
        <w:rPr>
          <w:b/>
          <w:sz w:val="21"/>
        </w:rPr>
        <w:t xml:space="preserve">Long term — </w:t>
      </w:r>
      <w:r>
        <w:rPr>
          <w:sz w:val="21"/>
        </w:rPr>
        <w:t>treat the VNet data gateway as the default managed path and minimise self-hosted gateway sprawl; as sources move to Azure or expose private endpoints, shift them across and shrink the on-premises footprint.</w:t>
      </w:r>
    </w:p>
    <w:p>
      <w:pPr>
        <w:pStyle w:val="ListParagraph"/>
        <w:spacing w:after="60"/>
        <w:ind w:left="432"/>
        <w:numPr>
          <w:ilvl w:val="0"/>
          <w:numId w:val="1"/>
        </w:numPr>
      </w:pPr>
      <w:r>
        <w:rPr>
          <w:b/>
          <w:sz w:val="21"/>
        </w:rPr>
        <w:t xml:space="preserve">Throughout — </w:t>
      </w:r>
      <w:r>
        <w:rPr>
          <w:sz w:val="21"/>
        </w:rPr>
        <w:t>credentials in Key Vault, read-only source accounts, and governed control over who may create gateways and connections.</w:t>
      </w:r>
    </w:p>
    <w:p>
      <w:pPr>
        <w:spacing w:after="120"/>
      </w:pPr>
      <w:r>
        <w:rPr>
          <w:b w:val="0"/>
          <w:i/>
          <w:sz w:val="20"/>
        </w:rPr>
        <w:t>Note: Oracle mirroring requires broad database grants on the source. That is a further reason to isolate the on-premises gateway and its credentials from every other connection.</w:t>
      </w:r>
    </w:p>
    <w:p>
      <w:pPr>
        <w:pStyle w:val="Heading1"/>
      </w:pPr>
      <w:r>
        <w:t>Component options</w:t>
      </w:r>
    </w:p>
    <w:p>
      <w:pPr>
        <w:spacing w:after="120"/>
      </w:pPr>
      <w:r>
        <w:rPr>
          <w:b w:val="0"/>
          <w:i w:val="0"/>
          <w:sz w:val="21"/>
        </w:rPr>
        <w:t>Where a Fabric implementation offers a choice, and what drives it.</w:t>
      </w:r>
    </w:p>
    <w:tbl>
      <w:tblPr>
        <w:tblStyle w:val="InfoTable"/>
        <w:tblW w:type="auto" w:w="0"/>
        <w:jc w:val="center"/>
        <w:tblLayout w:type="fixed"/>
        <w:tblLook w:firstColumn="1" w:firstRow="1" w:lastColumn="0" w:lastRow="0" w:noHBand="0" w:noVBand="1" w:val="04A0"/>
      </w:tblPr>
      <w:tblGrid>
        <w:gridCol w:w="4680"/>
        <w:gridCol w:w="4680"/>
      </w:tblGrid>
      <w:tr>
        <w:tc>
          <w:tcPr>
            <w:tcW w:type="dxa" w:w="2448"/>
            <w:shd w:fill="00778A"/>
          </w:tcPr>
          <w:p>
            <w:pPr>
              <w:spacing w:after="40"/>
            </w:pPr>
            <w:r/>
            <w:r>
              <w:rPr>
                <w:b/>
                <w:color w:val="FFFFFF"/>
                <w:sz w:val="19"/>
              </w:rPr>
              <w:t>Area</w:t>
            </w:r>
          </w:p>
        </w:tc>
        <w:tc>
          <w:tcPr>
            <w:tcW w:type="dxa" w:w="6912"/>
            <w:shd w:fill="00778A"/>
          </w:tcPr>
          <w:p>
            <w:pPr>
              <w:spacing w:after="40"/>
            </w:pPr>
            <w:r/>
            <w:r>
              <w:rPr>
                <w:b/>
                <w:color w:val="FFFFFF"/>
                <w:sz w:val="19"/>
              </w:rPr>
              <w:t>Decision</w:t>
            </w:r>
          </w:p>
        </w:tc>
      </w:tr>
      <w:tr>
        <w:tc>
          <w:tcPr>
            <w:tcW w:type="dxa" w:w="2448"/>
          </w:tcPr>
          <w:p>
            <w:pPr>
              <w:spacing w:after="40"/>
            </w:pPr>
            <w:r/>
            <w:r>
              <w:rPr>
                <w:b/>
                <w:sz w:val="19"/>
              </w:rPr>
              <w:t>Capacity and residency</w:t>
            </w:r>
          </w:p>
        </w:tc>
        <w:tc>
          <w:tcPr>
            <w:tcW w:type="dxa" w:w="6912"/>
          </w:tcPr>
          <w:p>
            <w:pPr>
              <w:spacing w:after="40"/>
            </w:pPr>
            <w:r/>
            <w:r>
              <w:rPr>
                <w:sz w:val="19"/>
              </w:rPr>
              <w:t>One Fabric capacity hosted in a Canadian region, sized to the workload in detailed design, with gateway virtual machines in the same region.</w:t>
            </w:r>
          </w:p>
        </w:tc>
      </w:tr>
      <w:tr>
        <w:tc>
          <w:tcPr>
            <w:tcW w:type="dxa" w:w="2448"/>
          </w:tcPr>
          <w:p>
            <w:pPr>
              <w:spacing w:after="40"/>
            </w:pPr>
            <w:r/>
            <w:r>
              <w:rPr>
                <w:b/>
                <w:sz w:val="19"/>
              </w:rPr>
              <w:t>Data architecture</w:t>
            </w:r>
          </w:p>
        </w:tc>
        <w:tc>
          <w:tcPr>
            <w:tcW w:type="dxa" w:w="6912"/>
          </w:tcPr>
          <w:p>
            <w:pPr>
              <w:spacing w:after="40"/>
            </w:pPr>
            <w:r/>
            <w:r>
              <w:rPr>
                <w:sz w:val="19"/>
              </w:rPr>
              <w:t>A medallion lakehouse on OneLake (Bronze → Silver → Gold). A warehouse is added only where a workload genuinely requires T-SQL write.</w:t>
            </w:r>
          </w:p>
        </w:tc>
      </w:tr>
      <w:tr>
        <w:tc>
          <w:tcPr>
            <w:tcW w:type="dxa" w:w="2448"/>
          </w:tcPr>
          <w:p>
            <w:pPr>
              <w:spacing w:after="40"/>
            </w:pPr>
            <w:r/>
            <w:r>
              <w:rPr>
                <w:b/>
                <w:sz w:val="19"/>
              </w:rPr>
              <w:t>Configuration as code</w:t>
            </w:r>
          </w:p>
        </w:tc>
        <w:tc>
          <w:tcPr>
            <w:tcW w:type="dxa" w:w="6912"/>
          </w:tcPr>
          <w:p>
            <w:pPr>
              <w:spacing w:after="40"/>
            </w:pPr>
            <w:r/>
            <w:r>
              <w:rPr>
                <w:sz w:val="19"/>
              </w:rPr>
              <w:t>Sources, quality rules, models and security policies are held as configuration in git and promoted between environments.</w:t>
            </w:r>
          </w:p>
        </w:tc>
      </w:tr>
      <w:tr>
        <w:tc>
          <w:tcPr>
            <w:tcW w:type="dxa" w:w="2448"/>
          </w:tcPr>
          <w:p>
            <w:pPr>
              <w:spacing w:after="40"/>
            </w:pPr>
            <w:r/>
            <w:r>
              <w:rPr>
                <w:b/>
                <w:sz w:val="19"/>
              </w:rPr>
              <w:t>Environment isolation</w:t>
            </w:r>
          </w:p>
        </w:tc>
        <w:tc>
          <w:tcPr>
            <w:tcW w:type="dxa" w:w="6912"/>
          </w:tcPr>
          <w:p>
            <w:pPr>
              <w:spacing w:after="40"/>
            </w:pPr>
            <w:r/>
            <w:r>
              <w:rPr>
                <w:sz w:val="19"/>
              </w:rPr>
              <w:t>Separate workspaces, Entra groups, service principals, key vaults and source connections for DEV, UAT and PROD.</w:t>
            </w:r>
          </w:p>
        </w:tc>
      </w:tr>
      <w:tr>
        <w:tc>
          <w:tcPr>
            <w:tcW w:type="dxa" w:w="2448"/>
          </w:tcPr>
          <w:p>
            <w:pPr>
              <w:spacing w:after="40"/>
            </w:pPr>
            <w:r/>
            <w:r>
              <w:rPr>
                <w:b/>
                <w:sz w:val="19"/>
              </w:rPr>
              <w:t>Access model</w:t>
            </w:r>
          </w:p>
        </w:tc>
        <w:tc>
          <w:tcPr>
            <w:tcW w:type="dxa" w:w="6912"/>
          </w:tcPr>
          <w:p>
            <w:pPr>
              <w:spacing w:after="40"/>
            </w:pPr>
            <w:r/>
            <w:r>
              <w:rPr>
                <w:sz w:val="19"/>
              </w:rPr>
              <w:t>Access granted to Entra security groups only, with Conditional Access on every session and just-in-time elevation for privileged and production roles.</w:t>
            </w:r>
          </w:p>
        </w:tc>
      </w:tr>
      <w:tr>
        <w:tc>
          <w:tcPr>
            <w:tcW w:type="dxa" w:w="2448"/>
          </w:tcPr>
          <w:p>
            <w:pPr>
              <w:spacing w:after="40"/>
            </w:pPr>
            <w:r/>
            <w:r>
              <w:rPr>
                <w:b/>
                <w:sz w:val="19"/>
              </w:rPr>
              <w:t>Connectivity</w:t>
            </w:r>
          </w:p>
        </w:tc>
        <w:tc>
          <w:tcPr>
            <w:tcW w:type="dxa" w:w="6912"/>
          </w:tcPr>
          <w:p>
            <w:pPr>
              <w:spacing w:after="40"/>
            </w:pPr>
            <w:r/>
            <w:r>
              <w:rPr>
                <w:sz w:val="19"/>
              </w:rPr>
              <w:t>The managed VNet data gateway is the default; a hardened, highly available on-premises gateway only where Microsoft requires it. Choosing the VNet gateway path means the capacity must be a P / F / A4+ SKU, F8 or above.</w:t>
            </w:r>
          </w:p>
        </w:tc>
      </w:tr>
      <w:tr>
        <w:tc>
          <w:tcPr>
            <w:tcW w:type="dxa" w:w="2448"/>
          </w:tcPr>
          <w:p>
            <w:pPr>
              <w:spacing w:after="40"/>
            </w:pPr>
            <w:r/>
            <w:r>
              <w:rPr>
                <w:b/>
                <w:sz w:val="19"/>
              </w:rPr>
              <w:t>Governance tooling</w:t>
            </w:r>
          </w:p>
        </w:tc>
        <w:tc>
          <w:tcPr>
            <w:tcW w:type="dxa" w:w="6912"/>
          </w:tcPr>
          <w:p>
            <w:pPr>
              <w:spacing w:after="40"/>
            </w:pPr>
            <w:r/>
            <w:r>
              <w:rPr>
                <w:sz w:val="19"/>
              </w:rPr>
              <w:t>Begin with Fabric's built-in governance; Purview and Sentinel are optional, added against a specific requirement.</w:t>
            </w:r>
          </w:p>
        </w:tc>
      </w:tr>
      <w:tr>
        <w:tc>
          <w:tcPr>
            <w:tcW w:type="dxa" w:w="2448"/>
          </w:tcPr>
          <w:p>
            <w:pPr>
              <w:spacing w:after="40"/>
            </w:pPr>
            <w:r/>
            <w:r>
              <w:rPr>
                <w:b/>
                <w:sz w:val="19"/>
              </w:rPr>
              <w:t>Ingestion pattern</w:t>
            </w:r>
          </w:p>
        </w:tc>
        <w:tc>
          <w:tcPr>
            <w:tcW w:type="dxa" w:w="6912"/>
          </w:tcPr>
          <w:p>
            <w:pPr>
              <w:spacing w:after="40"/>
            </w:pPr>
            <w:r/>
            <w:r>
              <w:rPr>
                <w:sz w:val="19"/>
              </w:rPr>
              <w:t>Framework ingestion into Bronze for batch sources; Fabric Mirroring where a source genuinely needs near-real-time replication.</w:t>
            </w:r>
          </w:p>
        </w:tc>
      </w:tr>
    </w:tbl>
    <w:p>
      <w:pPr>
        <w:spacing w:after="80"/>
      </w:pPr>
    </w:p>
    <w:p>
      <w:pPr>
        <w:pStyle w:val="Heading1"/>
      </w:pPr>
      <w:r>
        <w:t>What an implementation depends on</w:t>
      </w:r>
    </w:p>
    <w:p>
      <w:pPr>
        <w:pStyle w:val="ListParagraph"/>
        <w:spacing w:after="60"/>
        <w:ind w:left="432"/>
        <w:numPr>
          <w:ilvl w:val="0"/>
          <w:numId w:val="1"/>
        </w:numPr>
      </w:pPr>
      <w:r>
        <w:rPr>
          <w:sz w:val="21"/>
        </w:rPr>
        <w:t>A Fabric capacity is available in a Canadian region at a tier that supports the connectivity model.</w:t>
      </w:r>
    </w:p>
    <w:p>
      <w:pPr>
        <w:pStyle w:val="ListParagraph"/>
        <w:spacing w:after="60"/>
        <w:ind w:left="432"/>
        <w:numPr>
          <w:ilvl w:val="0"/>
          <w:numId w:val="1"/>
        </w:numPr>
      </w:pPr>
      <w:r>
        <w:rPr>
          <w:sz w:val="21"/>
        </w:rPr>
        <w:t>BCPC identity services can provision the required Entra security groups and Conditional Access policies.</w:t>
      </w:r>
    </w:p>
    <w:p>
      <w:pPr>
        <w:pStyle w:val="ListParagraph"/>
        <w:spacing w:after="60"/>
        <w:ind w:left="432"/>
        <w:numPr>
          <w:ilvl w:val="0"/>
          <w:numId w:val="1"/>
        </w:numPr>
      </w:pPr>
      <w:r>
        <w:rPr>
          <w:sz w:val="21"/>
        </w:rPr>
        <w:t>The tenant setting permitting service principals to use Fabric APIs can be enabled, scoped to a named group rather than organisation-wide.</w:t>
      </w:r>
    </w:p>
    <w:p>
      <w:pPr>
        <w:pStyle w:val="ListParagraph"/>
        <w:spacing w:after="60"/>
        <w:ind w:left="432"/>
        <w:numPr>
          <w:ilvl w:val="0"/>
          <w:numId w:val="1"/>
        </w:numPr>
      </w:pPr>
      <w:r>
        <w:rPr>
          <w:sz w:val="21"/>
        </w:rPr>
        <w:t>The Oracle source can meet Microsoft's prerequisites for mirroring, including archive logging and supplemental logging, and a supported gateway version.</w:t>
      </w:r>
    </w:p>
    <w:p>
      <w:pPr>
        <w:pStyle w:val="ListParagraph"/>
        <w:spacing w:after="60"/>
        <w:ind w:left="432"/>
        <w:numPr>
          <w:ilvl w:val="0"/>
          <w:numId w:val="1"/>
        </w:numPr>
      </w:pPr>
      <w:r>
        <w:rPr>
          <w:sz w:val="21"/>
        </w:rPr>
        <w:t>Non-production environments will be supplied with masked or synthetic data; no unmasked member data is loaded outside production.</w:t>
      </w:r>
    </w:p>
    <w:p>
      <w:pPr>
        <w:pStyle w:val="ListParagraph"/>
        <w:spacing w:after="60"/>
        <w:ind w:left="432"/>
        <w:numPr>
          <w:ilvl w:val="0"/>
          <w:numId w:val="1"/>
        </w:numPr>
      </w:pPr>
      <w:r>
        <w:rPr>
          <w:sz w:val="21"/>
        </w:rPr>
        <w:t>Hosting in a Canadian region satisfies BCPC's data-residency position.</w:t>
      </w:r>
    </w:p>
    <w:p>
      <w:pPr>
        <w:pStyle w:val="ListParagraph"/>
        <w:spacing w:after="60"/>
        <w:ind w:left="432"/>
        <w:numPr>
          <w:ilvl w:val="0"/>
          <w:numId w:val="1"/>
        </w:numPr>
      </w:pPr>
      <w:r>
        <w:rPr>
          <w:sz w:val="21"/>
        </w:rPr>
        <w:t>PIA, STRA and AI-assessment requirements are identified and actioned before the platform carries real member data.</w:t>
      </w:r>
    </w:p>
    <w:p>
      <w:pPr>
        <w:pStyle w:val="Heading1"/>
      </w:pPr>
      <w:r>
        <w:t>Implementation considerations</w:t>
      </w:r>
    </w:p>
    <w:tbl>
      <w:tblPr>
        <w:tblStyle w:val="InfoTable"/>
        <w:tblW w:type="auto" w:w="0"/>
        <w:jc w:val="center"/>
        <w:tblLayout w:type="fixed"/>
        <w:tblLook w:firstColumn="1" w:firstRow="1" w:lastColumn="0" w:lastRow="0" w:noHBand="0" w:noVBand="1" w:val="04A0"/>
      </w:tblPr>
      <w:tblGrid>
        <w:gridCol w:w="2340"/>
        <w:gridCol w:w="2340"/>
        <w:gridCol w:w="2340"/>
        <w:gridCol w:w="2340"/>
      </w:tblGrid>
      <w:tr>
        <w:tc>
          <w:tcPr>
            <w:tcW w:type="dxa" w:w="2553"/>
            <w:shd w:fill="00778A"/>
          </w:tcPr>
          <w:p>
            <w:pPr>
              <w:spacing w:after="40"/>
            </w:pPr>
            <w:r/>
            <w:r>
              <w:rPr>
                <w:b/>
                <w:color w:val="FFFFFF"/>
                <w:sz w:val="18"/>
              </w:rPr>
              <w:t>Risk</w:t>
            </w:r>
          </w:p>
        </w:tc>
        <w:tc>
          <w:tcPr>
            <w:tcW w:type="dxa" w:w="993"/>
            <w:shd w:fill="00778A"/>
          </w:tcPr>
          <w:p>
            <w:pPr>
              <w:spacing w:after="40"/>
            </w:pPr>
            <w:r/>
            <w:r>
              <w:rPr>
                <w:b/>
                <w:color w:val="FFFFFF"/>
                <w:sz w:val="18"/>
              </w:rPr>
              <w:t>Rating</w:t>
            </w:r>
          </w:p>
        </w:tc>
        <w:tc>
          <w:tcPr>
            <w:tcW w:type="dxa" w:w="4538"/>
            <w:shd w:fill="00778A"/>
          </w:tcPr>
          <w:p>
            <w:pPr>
              <w:spacing w:after="40"/>
            </w:pPr>
            <w:r/>
            <w:r>
              <w:rPr>
                <w:b/>
                <w:color w:val="FFFFFF"/>
                <w:sz w:val="18"/>
              </w:rPr>
              <w:t>Mitigation</w:t>
            </w:r>
          </w:p>
        </w:tc>
        <w:tc>
          <w:tcPr>
            <w:tcW w:type="dxa" w:w="1276"/>
            <w:shd w:fill="00778A"/>
          </w:tcPr>
          <w:p>
            <w:pPr>
              <w:spacing w:after="40"/>
            </w:pPr>
            <w:r/>
            <w:r>
              <w:rPr>
                <w:b/>
                <w:color w:val="FFFFFF"/>
                <w:sz w:val="18"/>
              </w:rPr>
              <w:t>Owner</w:t>
            </w:r>
          </w:p>
        </w:tc>
      </w:tr>
      <w:tr>
        <w:tc>
          <w:tcPr>
            <w:tcW w:type="dxa" w:w="2553"/>
          </w:tcPr>
          <w:p>
            <w:pPr>
              <w:spacing w:after="40"/>
            </w:pPr>
            <w:r/>
            <w:r>
              <w:rPr>
                <w:b/>
                <w:sz w:val="18"/>
              </w:rPr>
              <w:t>Sensitive member data in a new platform</w:t>
            </w:r>
          </w:p>
        </w:tc>
        <w:tc>
          <w:tcPr>
            <w:tcW w:type="dxa" w:w="993"/>
          </w:tcPr>
          <w:p>
            <w:pPr>
              <w:spacing w:after="40"/>
            </w:pPr>
            <w:r/>
            <w:r>
              <w:rPr>
                <w:sz w:val="18"/>
              </w:rPr>
              <w:t>High</w:t>
            </w:r>
          </w:p>
        </w:tc>
        <w:tc>
          <w:tcPr>
            <w:tcW w:type="dxa" w:w="4538"/>
          </w:tcPr>
          <w:p>
            <w:pPr>
              <w:spacing w:after="40"/>
            </w:pPr>
            <w:r/>
            <w:r>
              <w:rPr>
                <w:sz w:val="18"/>
              </w:rPr>
              <w:t>The design keeps lower environments on masked or synthetic data and admits real data only to production under row / column security and masking, with the access model confirmed with ITSO.</w:t>
            </w:r>
          </w:p>
        </w:tc>
        <w:tc>
          <w:tcPr>
            <w:tcW w:type="dxa" w:w="1276"/>
          </w:tcPr>
          <w:p>
            <w:pPr>
              <w:spacing w:after="40"/>
            </w:pPr>
            <w:r/>
            <w:r>
              <w:rPr>
                <w:sz w:val="18"/>
              </w:rPr>
              <w:t>ITE / ITSO</w:t>
            </w:r>
          </w:p>
        </w:tc>
      </w:tr>
      <w:tr>
        <w:tc>
          <w:tcPr>
            <w:tcW w:type="dxa" w:w="2553"/>
          </w:tcPr>
          <w:p>
            <w:pPr>
              <w:spacing w:after="40"/>
            </w:pPr>
            <w:r/>
            <w:r>
              <w:rPr>
                <w:b/>
                <w:sz w:val="18"/>
              </w:rPr>
              <w:t>Privileged access to production</w:t>
            </w:r>
          </w:p>
        </w:tc>
        <w:tc>
          <w:tcPr>
            <w:tcW w:type="dxa" w:w="993"/>
          </w:tcPr>
          <w:p>
            <w:pPr>
              <w:spacing w:after="40"/>
            </w:pPr>
            <w:r/>
            <w:r>
              <w:rPr>
                <w:sz w:val="18"/>
              </w:rPr>
              <w:t>High</w:t>
            </w:r>
          </w:p>
        </w:tc>
        <w:tc>
          <w:tcPr>
            <w:tcW w:type="dxa" w:w="4538"/>
          </w:tcPr>
          <w:p>
            <w:pPr>
              <w:spacing w:after="40"/>
            </w:pPr>
            <w:r/>
            <w:r>
              <w:rPr>
                <w:sz w:val="18"/>
              </w:rPr>
              <w:t>No standing human change access to production; changes flow only through the deployment pipeline executed by a service principal, with administrator roles elevated just in time.</w:t>
            </w:r>
          </w:p>
        </w:tc>
        <w:tc>
          <w:tcPr>
            <w:tcW w:type="dxa" w:w="1276"/>
          </w:tcPr>
          <w:p>
            <w:pPr>
              <w:spacing w:after="40"/>
            </w:pPr>
            <w:r/>
            <w:r>
              <w:rPr>
                <w:sz w:val="18"/>
              </w:rPr>
              <w:t>Platform Owner</w:t>
            </w:r>
          </w:p>
        </w:tc>
      </w:tr>
      <w:tr>
        <w:tc>
          <w:tcPr>
            <w:tcW w:type="dxa" w:w="2553"/>
          </w:tcPr>
          <w:p>
            <w:pPr>
              <w:spacing w:after="40"/>
            </w:pPr>
            <w:r/>
            <w:r>
              <w:rPr>
                <w:b/>
                <w:sz w:val="18"/>
              </w:rPr>
              <w:t>Broad database grants required for Oracle mirroring</w:t>
            </w:r>
          </w:p>
        </w:tc>
        <w:tc>
          <w:tcPr>
            <w:tcW w:type="dxa" w:w="993"/>
          </w:tcPr>
          <w:p>
            <w:pPr>
              <w:spacing w:after="40"/>
            </w:pPr>
            <w:r/>
            <w:r>
              <w:rPr>
                <w:sz w:val="18"/>
              </w:rPr>
              <w:t>Medium</w:t>
            </w:r>
          </w:p>
        </w:tc>
        <w:tc>
          <w:tcPr>
            <w:tcW w:type="dxa" w:w="4538"/>
          </w:tcPr>
          <w:p>
            <w:pPr>
              <w:spacing w:after="40"/>
            </w:pPr>
            <w:r/>
            <w:r>
              <w:rPr>
                <w:sz w:val="18"/>
              </w:rPr>
              <w:t>The on-premises gateway is dedicated, hardened and clustered, its credentials isolated in a per-environment key vault, and read-only accounts used everywhere else.</w:t>
            </w:r>
          </w:p>
        </w:tc>
        <w:tc>
          <w:tcPr>
            <w:tcW w:type="dxa" w:w="1276"/>
          </w:tcPr>
          <w:p>
            <w:pPr>
              <w:spacing w:after="40"/>
            </w:pPr>
            <w:r/>
            <w:r>
              <w:rPr>
                <w:sz w:val="18"/>
              </w:rPr>
              <w:t>Platform Owner</w:t>
            </w:r>
          </w:p>
        </w:tc>
      </w:tr>
      <w:tr>
        <w:tc>
          <w:tcPr>
            <w:tcW w:type="dxa" w:w="2553"/>
          </w:tcPr>
          <w:p>
            <w:pPr>
              <w:spacing w:after="40"/>
            </w:pPr>
            <w:r/>
            <w:r>
              <w:rPr>
                <w:b/>
                <w:sz w:val="18"/>
              </w:rPr>
              <w:t>Capacity contention and cost overrun</w:t>
            </w:r>
          </w:p>
        </w:tc>
        <w:tc>
          <w:tcPr>
            <w:tcW w:type="dxa" w:w="993"/>
          </w:tcPr>
          <w:p>
            <w:pPr>
              <w:spacing w:after="40"/>
            </w:pPr>
            <w:r/>
            <w:r>
              <w:rPr>
                <w:sz w:val="18"/>
              </w:rPr>
              <w:t>Medium</w:t>
            </w:r>
          </w:p>
        </w:tc>
        <w:tc>
          <w:tcPr>
            <w:tcW w:type="dxa" w:w="4538"/>
          </w:tcPr>
          <w:p>
            <w:pPr>
              <w:spacing w:after="40"/>
            </w:pPr>
            <w:r/>
            <w:r>
              <w:rPr>
                <w:sz w:val="18"/>
              </w:rPr>
              <w:t>Production on dedicated capacity with surge protection and throttling guardrails; consumption monitored against the capacity allowance as a standing operational control.</w:t>
            </w:r>
          </w:p>
        </w:tc>
        <w:tc>
          <w:tcPr>
            <w:tcW w:type="dxa" w:w="1276"/>
          </w:tcPr>
          <w:p>
            <w:pPr>
              <w:spacing w:after="40"/>
            </w:pPr>
            <w:r/>
            <w:r>
              <w:rPr>
                <w:sz w:val="18"/>
              </w:rPr>
              <w:t>Capacity Admin</w:t>
            </w:r>
          </w:p>
        </w:tc>
      </w:tr>
      <w:tr>
        <w:tc>
          <w:tcPr>
            <w:tcW w:type="dxa" w:w="2553"/>
          </w:tcPr>
          <w:p>
            <w:pPr>
              <w:spacing w:after="40"/>
            </w:pPr>
            <w:r/>
            <w:r>
              <w:rPr>
                <w:b/>
                <w:sz w:val="18"/>
              </w:rPr>
              <w:t>Ungoverned workspace and report sprawl</w:t>
            </w:r>
          </w:p>
        </w:tc>
        <w:tc>
          <w:tcPr>
            <w:tcW w:type="dxa" w:w="993"/>
          </w:tcPr>
          <w:p>
            <w:pPr>
              <w:spacing w:after="40"/>
            </w:pPr>
            <w:r/>
            <w:r>
              <w:rPr>
                <w:sz w:val="18"/>
              </w:rPr>
              <w:t>Medium</w:t>
            </w:r>
          </w:p>
        </w:tc>
        <w:tc>
          <w:tcPr>
            <w:tcW w:type="dxa" w:w="4538"/>
          </w:tcPr>
          <w:p>
            <w:pPr>
              <w:spacing w:after="40"/>
            </w:pPr>
            <w:r/>
            <w:r>
              <w:rPr>
                <w:sz w:val="18"/>
              </w:rPr>
              <w:t>Workspace creation restricted to a request-and-approve process; every workspace provisioned to standard from code; only reviewed Gold products certified.</w:t>
            </w:r>
          </w:p>
        </w:tc>
        <w:tc>
          <w:tcPr>
            <w:tcW w:type="dxa" w:w="1276"/>
          </w:tcPr>
          <w:p>
            <w:pPr>
              <w:spacing w:after="40"/>
            </w:pPr>
            <w:r/>
            <w:r>
              <w:rPr>
                <w:sz w:val="18"/>
              </w:rPr>
              <w:t>Data Governance</w:t>
            </w:r>
          </w:p>
        </w:tc>
      </w:tr>
      <w:tr>
        <w:tc>
          <w:tcPr>
            <w:tcW w:type="dxa" w:w="2553"/>
          </w:tcPr>
          <w:p>
            <w:pPr>
              <w:spacing w:after="40"/>
            </w:pPr>
            <w:r/>
            <w:r>
              <w:rPr>
                <w:b/>
                <w:sz w:val="18"/>
              </w:rPr>
              <w:t>Skills and adoption</w:t>
            </w:r>
          </w:p>
        </w:tc>
        <w:tc>
          <w:tcPr>
            <w:tcW w:type="dxa" w:w="993"/>
          </w:tcPr>
          <w:p>
            <w:pPr>
              <w:spacing w:after="40"/>
            </w:pPr>
            <w:r/>
            <w:r>
              <w:rPr>
                <w:sz w:val="18"/>
              </w:rPr>
              <w:t>Low</w:t>
            </w:r>
          </w:p>
        </w:tc>
        <w:tc>
          <w:tcPr>
            <w:tcW w:type="dxa" w:w="4538"/>
          </w:tcPr>
          <w:p>
            <w:pPr>
              <w:spacing w:after="40"/>
            </w:pPr>
            <w:r/>
            <w:r>
              <w:rPr>
                <w:sz w:val="18"/>
              </w:rPr>
              <w:t>Adding a source is a configuration change rather than new code, keeping effort per source small; runbooks and working guides maintained alongside the platform.</w:t>
            </w:r>
          </w:p>
        </w:tc>
        <w:tc>
          <w:tcPr>
            <w:tcW w:type="dxa" w:w="1276"/>
          </w:tcPr>
          <w:p>
            <w:pPr>
              <w:spacing w:after="40"/>
            </w:pPr>
            <w:r/>
            <w:r>
              <w:rPr>
                <w:sz w:val="18"/>
              </w:rPr>
              <w:t>Project team</w:t>
            </w:r>
          </w:p>
        </w:tc>
      </w:tr>
    </w:tbl>
    <w:p>
      <w:pPr>
        <w:spacing w:after="80"/>
      </w:pPr>
    </w:p>
    <w:p>
      <w:pPr>
        <w:pStyle w:val="Heading1"/>
      </w:pPr>
      <w:r>
        <w:t>Outside this architecture</w:t>
      </w:r>
    </w:p>
    <w:p>
      <w:pPr>
        <w:pStyle w:val="ListParagraph"/>
        <w:spacing w:after="60"/>
        <w:ind w:left="432"/>
        <w:numPr>
          <w:ilvl w:val="0"/>
          <w:numId w:val="1"/>
        </w:numPr>
      </w:pPr>
      <w:r>
        <w:rPr>
          <w:sz w:val="21"/>
        </w:rPr>
        <w:t>Migrating production reporting off the current platform.</w:t>
      </w:r>
    </w:p>
    <w:p>
      <w:pPr>
        <w:pStyle w:val="ListParagraph"/>
        <w:spacing w:after="60"/>
        <w:ind w:left="432"/>
        <w:numPr>
          <w:ilvl w:val="0"/>
          <w:numId w:val="1"/>
        </w:numPr>
      </w:pPr>
      <w:r>
        <w:rPr>
          <w:sz w:val="21"/>
        </w:rPr>
        <w:t>Decommissioning any existing system.</w:t>
      </w:r>
    </w:p>
    <w:p>
      <w:pPr>
        <w:pStyle w:val="ListParagraph"/>
        <w:spacing w:after="60"/>
        <w:ind w:left="432"/>
        <w:numPr>
          <w:ilvl w:val="0"/>
          <w:numId w:val="1"/>
        </w:numPr>
      </w:pPr>
      <w:r>
        <w:rPr>
          <w:sz w:val="21"/>
        </w:rPr>
        <w:t>Loading unmasked member data into a non-production environment.</w:t>
      </w:r>
    </w:p>
    <w:p>
      <w:pPr>
        <w:pStyle w:val="ListParagraph"/>
        <w:spacing w:after="60"/>
        <w:ind w:left="432"/>
        <w:numPr>
          <w:ilvl w:val="0"/>
          <w:numId w:val="1"/>
        </w:numPr>
      </w:pPr>
      <w:r>
        <w:rPr>
          <w:sz w:val="21"/>
        </w:rPr>
        <w:t>Any public-internet data path to a BCPC source.</w:t>
      </w:r>
    </w:p>
    <w:p>
      <w:pPr>
        <w:pStyle w:val="ListParagraph"/>
        <w:spacing w:after="60"/>
        <w:ind w:left="432"/>
        <w:numPr>
          <w:ilvl w:val="0"/>
          <w:numId w:val="1"/>
        </w:numPr>
      </w:pPr>
      <w:r>
        <w:rPr>
          <w:sz w:val="21"/>
        </w:rPr>
        <w:t>Adopting Purview or Sentinel, unless a specific requirement emerges in detailed design.</w:t>
      </w:r>
    </w:p>
    <w:p>
      <w:pPr>
        <w:pStyle w:val="Heading1"/>
      </w:pPr>
      <w:r>
        <w:t>References</w:t>
      </w:r>
    </w:p>
    <w:p>
      <w:pPr>
        <w:spacing w:after="120"/>
      </w:pPr>
      <w:r>
        <w:rPr>
          <w:b w:val="0"/>
          <w:i/>
          <w:sz w:val="20"/>
        </w:rPr>
        <w:t>Microsoft documentation verified 2026-07-28.</w:t>
      </w:r>
    </w:p>
    <w:p>
      <w:pPr>
        <w:spacing w:after="40"/>
      </w:pPr>
      <w:r>
        <w:rPr>
          <w:b w:val="0"/>
          <w:i w:val="0"/>
          <w:sz w:val="19"/>
        </w:rPr>
        <w:t>Fabric security overview — https://learn.microsoft.com/en-us/fabric/security/security-overview</w:t>
      </w:r>
    </w:p>
    <w:p>
      <w:pPr>
        <w:spacing w:after="40"/>
      </w:pPr>
      <w:r>
        <w:rPr>
          <w:b w:val="0"/>
          <w:i w:val="0"/>
          <w:sz w:val="19"/>
        </w:rPr>
        <w:t>OneLake security (row and column level) — https://learn.microsoft.com/en-us/fabric/onelake/security/get-started-security</w:t>
      </w:r>
    </w:p>
    <w:p>
      <w:pPr>
        <w:spacing w:after="40"/>
      </w:pPr>
      <w:r>
        <w:rPr>
          <w:b w:val="0"/>
          <w:i w:val="0"/>
          <w:sz w:val="19"/>
        </w:rPr>
        <w:t>Fabric service principals — https://learn.microsoft.com/en-us/fabric/admin/service-principal</w:t>
      </w:r>
    </w:p>
    <w:p>
      <w:pPr>
        <w:spacing w:after="40"/>
      </w:pPr>
      <w:r>
        <w:rPr>
          <w:b w:val="0"/>
          <w:i w:val="0"/>
          <w:sz w:val="19"/>
        </w:rPr>
        <w:t>Fabric deployment pipelines — https://learn.microsoft.com/en-us/fabric/cicd/deployment-pipelines/intro-to-deployment-pipelines</w:t>
      </w:r>
    </w:p>
    <w:p>
      <w:pPr>
        <w:spacing w:after="40"/>
      </w:pPr>
      <w:r>
        <w:rPr>
          <w:b w:val="0"/>
          <w:i w:val="0"/>
          <w:sz w:val="19"/>
        </w:rPr>
        <w:t>Information protection in Fabric — https://learn.microsoft.com/en-us/fabric/governance/information-protection</w:t>
      </w:r>
    </w:p>
    <w:p>
      <w:pPr>
        <w:spacing w:after="40"/>
      </w:pPr>
      <w:r>
        <w:rPr>
          <w:b w:val="0"/>
          <w:i w:val="0"/>
          <w:sz w:val="19"/>
        </w:rPr>
        <w:t>Virtual network data gateway — https://learn.microsoft.com/en-us/data-integration/vnet/overview</w:t>
      </w:r>
    </w:p>
    <w:p>
      <w:pPr>
        <w:spacing w:after="40"/>
      </w:pPr>
      <w:r>
        <w:rPr>
          <w:b w:val="0"/>
          <w:i w:val="0"/>
          <w:sz w:val="19"/>
        </w:rPr>
        <w:t>On-premises data gateway — https://learn.microsoft.com/en-us/data-integration/gateway/service-gateway-onprem</w:t>
      </w:r>
    </w:p>
    <w:p>
      <w:pPr>
        <w:spacing w:after="40"/>
      </w:pPr>
      <w:r>
        <w:rPr>
          <w:b w:val="0"/>
          <w:i w:val="0"/>
          <w:sz w:val="19"/>
        </w:rPr>
        <w:t>Fabric Mirroring overview — https://learn.microsoft.com/en-us/fabric/mirroring/overview</w:t>
      </w:r>
    </w:p>
    <w:p>
      <w:pPr>
        <w:spacing w:after="40"/>
      </w:pPr>
      <w:r>
        <w:rPr>
          <w:b w:val="0"/>
          <w:i w:val="0"/>
          <w:sz w:val="19"/>
        </w:rPr>
        <w:t>Oracle mirroring prerequisites — https://learn.microsoft.com/en-us/fabric/mirroring/oracle</w:t>
      </w:r>
    </w:p>
    <w:p>
      <w:pPr>
        <w:spacing w:after="40"/>
      </w:pPr>
      <w:r>
        <w:rPr>
          <w:b w:val="0"/>
          <w:i w:val="0"/>
          <w:sz w:val="19"/>
        </w:rPr>
        <w:t>Fabric deployment patterns — https://learn.microsoft.com/en-us/azure/architecture/data-guide/technology-choices/fabric-deployment-patterns</w:t>
      </w:r>
    </w:p>
    <w:p>
      <w:pPr>
        <w:spacing w:after="40"/>
      </w:pPr>
      <w:r>
        <w:rPr>
          <w:b w:val="0"/>
          <w:i w:val="0"/>
          <w:sz w:val="19"/>
        </w:rPr>
        <w:t>Conditional Access — https://learn.microsoft.com/en-us/entra/identity/conditional-access/overview</w:t>
      </w:r>
    </w:p>
    <w:p>
      <w:pPr>
        <w:spacing w:after="40"/>
      </w:pPr>
      <w:r>
        <w:rPr>
          <w:b w:val="0"/>
          <w:i w:val="0"/>
          <w:sz w:val="19"/>
        </w:rPr>
        <w:t>Privileged Identity Management — https://learn.microsoft.com/en-us/entra/id-governance/privileged-identity-management/pim-configure</w:t>
      </w:r>
    </w:p>
    <w:p>
      <w:pPr>
        <w:spacing w:after="120"/>
      </w:pPr>
      <w:r>
        <w:rPr>
          <w:b w:val="0"/>
          <w:i/>
          <w:color w:val="4D4D4F"/>
          <w:sz w:val="18"/>
        </w:rPr>
        <w:t>Diagram provenance: the figures are built from the official Microsoft Azure architecture icons and the Microsoft Fabric product icons. Oracle is a third-party product with no Microsoft icon and is drawn as a labelled element using a neutral database mark.</w:t>
      </w:r>
    </w:p>
    <w:sectPr w:rsidR="004F06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07"/>
    <w:multiLevelType w:val="multilevel"/>
    <w:tmpl w:val="F3BAC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772CAA"/>
    <w:multiLevelType w:val="multilevel"/>
    <w:tmpl w:val="614E5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6278E0"/>
    <w:multiLevelType w:val="multilevel"/>
    <w:tmpl w:val="061EF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250032"/>
    <w:multiLevelType w:val="multilevel"/>
    <w:tmpl w:val="76B44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2E716CA"/>
    <w:multiLevelType w:val="multilevel"/>
    <w:tmpl w:val="E6D65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91D444C"/>
    <w:multiLevelType w:val="multilevel"/>
    <w:tmpl w:val="CC962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9EE1177"/>
    <w:multiLevelType w:val="multilevel"/>
    <w:tmpl w:val="4544D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33751C"/>
    <w:multiLevelType w:val="multilevel"/>
    <w:tmpl w:val="19EA7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95B630A"/>
    <w:multiLevelType w:val="multilevel"/>
    <w:tmpl w:val="65A4B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C8D744C"/>
    <w:multiLevelType w:val="multilevel"/>
    <w:tmpl w:val="90D4A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2A5AE6"/>
    <w:multiLevelType w:val="multilevel"/>
    <w:tmpl w:val="CBE00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4197B92"/>
    <w:multiLevelType w:val="multilevel"/>
    <w:tmpl w:val="B6E27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6971AC8"/>
    <w:multiLevelType w:val="multilevel"/>
    <w:tmpl w:val="543E2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8534CA"/>
    <w:multiLevelType w:val="multilevel"/>
    <w:tmpl w:val="CF5EC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D930F5F"/>
    <w:multiLevelType w:val="multilevel"/>
    <w:tmpl w:val="CE02C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3E93669"/>
    <w:multiLevelType w:val="multilevel"/>
    <w:tmpl w:val="1BBC6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6C97617"/>
    <w:multiLevelType w:val="hybridMultilevel"/>
    <w:tmpl w:val="563A5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AB1832"/>
    <w:multiLevelType w:val="multilevel"/>
    <w:tmpl w:val="EC96B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A26EB5"/>
    <w:multiLevelType w:val="multilevel"/>
    <w:tmpl w:val="BA86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9008F"/>
    <w:multiLevelType w:val="multilevel"/>
    <w:tmpl w:val="55B2F4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D9A4805"/>
    <w:multiLevelType w:val="multilevel"/>
    <w:tmpl w:val="7B10A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11657669">
    <w:abstractNumId w:val="19"/>
  </w:num>
  <w:num w:numId="2" w16cid:durableId="886990042">
    <w:abstractNumId w:val="12"/>
  </w:num>
  <w:num w:numId="3" w16cid:durableId="846216725">
    <w:abstractNumId w:val="14"/>
  </w:num>
  <w:num w:numId="4" w16cid:durableId="230887902">
    <w:abstractNumId w:val="15"/>
  </w:num>
  <w:num w:numId="5" w16cid:durableId="1078556884">
    <w:abstractNumId w:val="4"/>
  </w:num>
  <w:num w:numId="6" w16cid:durableId="1018121728">
    <w:abstractNumId w:val="9"/>
  </w:num>
  <w:num w:numId="7" w16cid:durableId="174736060">
    <w:abstractNumId w:val="2"/>
  </w:num>
  <w:num w:numId="8" w16cid:durableId="667832483">
    <w:abstractNumId w:val="6"/>
  </w:num>
  <w:num w:numId="9" w16cid:durableId="1459912610">
    <w:abstractNumId w:val="10"/>
  </w:num>
  <w:num w:numId="10" w16cid:durableId="324939053">
    <w:abstractNumId w:val="20"/>
  </w:num>
  <w:num w:numId="11" w16cid:durableId="1676685662">
    <w:abstractNumId w:val="5"/>
  </w:num>
  <w:num w:numId="12" w16cid:durableId="1411467977">
    <w:abstractNumId w:val="3"/>
  </w:num>
  <w:num w:numId="13" w16cid:durableId="121387550">
    <w:abstractNumId w:val="0"/>
  </w:num>
  <w:num w:numId="14" w16cid:durableId="611592907">
    <w:abstractNumId w:val="7"/>
  </w:num>
  <w:num w:numId="15" w16cid:durableId="1271008146">
    <w:abstractNumId w:val="17"/>
  </w:num>
  <w:num w:numId="16" w16cid:durableId="32921798">
    <w:abstractNumId w:val="16"/>
  </w:num>
  <w:num w:numId="17" w16cid:durableId="1907105306">
    <w:abstractNumId w:val="11"/>
  </w:num>
  <w:num w:numId="18" w16cid:durableId="625046897">
    <w:abstractNumId w:val="18"/>
  </w:num>
  <w:num w:numId="19" w16cid:durableId="1940867348">
    <w:abstractNumId w:val="8"/>
  </w:num>
  <w:num w:numId="20" w16cid:durableId="1649237153">
    <w:abstractNumId w:val="1"/>
  </w:num>
  <w:num w:numId="21" w16cid:durableId="81403050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83"/>
    <w:rsid w:val="000A4187"/>
    <w:rsid w:val="000B14FC"/>
    <w:rsid w:val="000B4B1C"/>
    <w:rsid w:val="000D2E3A"/>
    <w:rsid w:val="00117AE9"/>
    <w:rsid w:val="00142FF6"/>
    <w:rsid w:val="00143D64"/>
    <w:rsid w:val="00183327"/>
    <w:rsid w:val="001C37E3"/>
    <w:rsid w:val="001E0AE5"/>
    <w:rsid w:val="001F2A57"/>
    <w:rsid w:val="001F5E45"/>
    <w:rsid w:val="00222ACA"/>
    <w:rsid w:val="00232A8C"/>
    <w:rsid w:val="002551A4"/>
    <w:rsid w:val="0025594C"/>
    <w:rsid w:val="002607F3"/>
    <w:rsid w:val="00292AB2"/>
    <w:rsid w:val="002931FB"/>
    <w:rsid w:val="002E34EF"/>
    <w:rsid w:val="002E55B7"/>
    <w:rsid w:val="002E701C"/>
    <w:rsid w:val="0030061B"/>
    <w:rsid w:val="0031091C"/>
    <w:rsid w:val="003344DA"/>
    <w:rsid w:val="003819A5"/>
    <w:rsid w:val="003A20DB"/>
    <w:rsid w:val="003C01DC"/>
    <w:rsid w:val="003C3320"/>
    <w:rsid w:val="003D6F25"/>
    <w:rsid w:val="003F1B40"/>
    <w:rsid w:val="004456B8"/>
    <w:rsid w:val="004B4887"/>
    <w:rsid w:val="004E179A"/>
    <w:rsid w:val="004F06D3"/>
    <w:rsid w:val="004F58D3"/>
    <w:rsid w:val="00561E7B"/>
    <w:rsid w:val="005A3336"/>
    <w:rsid w:val="00617938"/>
    <w:rsid w:val="00646B6F"/>
    <w:rsid w:val="00664A3E"/>
    <w:rsid w:val="006C24D0"/>
    <w:rsid w:val="00710F43"/>
    <w:rsid w:val="0076126A"/>
    <w:rsid w:val="007B19C4"/>
    <w:rsid w:val="00802FC9"/>
    <w:rsid w:val="00823883"/>
    <w:rsid w:val="008841B1"/>
    <w:rsid w:val="008A7B48"/>
    <w:rsid w:val="008B4824"/>
    <w:rsid w:val="008C1E58"/>
    <w:rsid w:val="008F2883"/>
    <w:rsid w:val="00935655"/>
    <w:rsid w:val="00977D40"/>
    <w:rsid w:val="009A3A52"/>
    <w:rsid w:val="00A11D52"/>
    <w:rsid w:val="00A35E4A"/>
    <w:rsid w:val="00A41623"/>
    <w:rsid w:val="00AA4556"/>
    <w:rsid w:val="00AD21DB"/>
    <w:rsid w:val="00AD5C5C"/>
    <w:rsid w:val="00AE39F7"/>
    <w:rsid w:val="00B0590D"/>
    <w:rsid w:val="00B105F8"/>
    <w:rsid w:val="00B144C0"/>
    <w:rsid w:val="00B26E46"/>
    <w:rsid w:val="00B54C0E"/>
    <w:rsid w:val="00B8601D"/>
    <w:rsid w:val="00B96161"/>
    <w:rsid w:val="00BD40BE"/>
    <w:rsid w:val="00BE1C93"/>
    <w:rsid w:val="00C03B65"/>
    <w:rsid w:val="00C63986"/>
    <w:rsid w:val="00C721ED"/>
    <w:rsid w:val="00CA7B4D"/>
    <w:rsid w:val="00D01BCC"/>
    <w:rsid w:val="00D139B0"/>
    <w:rsid w:val="00D27056"/>
    <w:rsid w:val="00D36977"/>
    <w:rsid w:val="00D401A9"/>
    <w:rsid w:val="00D55415"/>
    <w:rsid w:val="00D60D66"/>
    <w:rsid w:val="00D67137"/>
    <w:rsid w:val="00DB0E55"/>
    <w:rsid w:val="00DD44C8"/>
    <w:rsid w:val="00DD7BC1"/>
    <w:rsid w:val="00DE0A4B"/>
    <w:rsid w:val="00E8476B"/>
    <w:rsid w:val="00EE09BF"/>
    <w:rsid w:val="00F27C24"/>
    <w:rsid w:val="00F45E8C"/>
    <w:rsid w:val="00F51B4E"/>
    <w:rsid w:val="00F84D73"/>
    <w:rsid w:val="00FA7EFF"/>
    <w:rsid w:val="00FB4F2B"/>
    <w:rsid w:val="00FD446A"/>
    <w:rsid w:val="00FF45E7"/>
    <w:rsid w:val="040E6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39F8"/>
  <w15:chartTrackingRefBased/>
  <w15:docId w15:val="{5F9A237E-BED5-419D-A71E-F470FB2E56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2883"/>
  </w:style>
  <w:style w:type="paragraph" w:styleId="Heading1">
    <w:name w:val="heading 1"/>
    <w:aliases w:val="Corp-Heading 1"/>
    <w:basedOn w:val="Normal"/>
    <w:next w:val="Normal"/>
    <w:link w:val="Heading1Char"/>
    <w:uiPriority w:val="9"/>
    <w:qFormat/>
    <w:rsid w:val="008F28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8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Corp-Heading 1 Char"/>
    <w:basedOn w:val="DefaultParagraphFont"/>
    <w:link w:val="Heading1"/>
    <w:uiPriority w:val="9"/>
    <w:rsid w:val="008F28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F28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F28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F28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28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28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28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28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2883"/>
    <w:rPr>
      <w:rFonts w:eastAsiaTheme="majorEastAsia" w:cstheme="majorBidi"/>
      <w:color w:val="272727" w:themeColor="text1" w:themeTint="D8"/>
    </w:rPr>
  </w:style>
  <w:style w:type="paragraph" w:styleId="Title">
    <w:name w:val="Title"/>
    <w:basedOn w:val="Normal"/>
    <w:next w:val="Normal"/>
    <w:link w:val="TitleChar"/>
    <w:uiPriority w:val="10"/>
    <w:qFormat/>
    <w:rsid w:val="008F28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28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F28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883"/>
    <w:pPr>
      <w:spacing w:before="160"/>
      <w:jc w:val="center"/>
    </w:pPr>
    <w:rPr>
      <w:i/>
      <w:iCs/>
      <w:color w:val="404040" w:themeColor="text1" w:themeTint="BF"/>
    </w:rPr>
  </w:style>
  <w:style w:type="character" w:styleId="QuoteChar" w:customStyle="1">
    <w:name w:val="Quote Char"/>
    <w:basedOn w:val="DefaultParagraphFont"/>
    <w:link w:val="Quote"/>
    <w:uiPriority w:val="29"/>
    <w:rsid w:val="008F2883"/>
    <w:rPr>
      <w:i/>
      <w:iCs/>
      <w:color w:val="404040" w:themeColor="text1" w:themeTint="BF"/>
    </w:rPr>
  </w:style>
  <w:style w:type="paragraph" w:styleId="ListParagraph">
    <w:name w:val="List Paragraph"/>
    <w:basedOn w:val="Normal"/>
    <w:uiPriority w:val="34"/>
    <w:qFormat/>
    <w:rsid w:val="008F2883"/>
    <w:pPr>
      <w:ind w:left="720"/>
      <w:contextualSpacing/>
    </w:pPr>
  </w:style>
  <w:style w:type="character" w:styleId="IntenseEmphasis">
    <w:name w:val="Intense Emphasis"/>
    <w:basedOn w:val="DefaultParagraphFont"/>
    <w:uiPriority w:val="21"/>
    <w:qFormat/>
    <w:rsid w:val="008F2883"/>
    <w:rPr>
      <w:i/>
      <w:iCs/>
      <w:color w:val="0F4761" w:themeColor="accent1" w:themeShade="BF"/>
    </w:rPr>
  </w:style>
  <w:style w:type="paragraph" w:styleId="IntenseQuote">
    <w:name w:val="Intense Quote"/>
    <w:basedOn w:val="Normal"/>
    <w:next w:val="Normal"/>
    <w:link w:val="IntenseQuoteChar"/>
    <w:uiPriority w:val="30"/>
    <w:qFormat/>
    <w:rsid w:val="008F28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2883"/>
    <w:rPr>
      <w:i/>
      <w:iCs/>
      <w:color w:val="0F4761" w:themeColor="accent1" w:themeShade="BF"/>
    </w:rPr>
  </w:style>
  <w:style w:type="character" w:styleId="IntenseReference">
    <w:name w:val="Intense Reference"/>
    <w:basedOn w:val="DefaultParagraphFont"/>
    <w:uiPriority w:val="32"/>
    <w:qFormat/>
    <w:rsid w:val="008F2883"/>
    <w:rPr>
      <w:b/>
      <w:bCs/>
      <w:smallCaps/>
      <w:color w:val="0F4761" w:themeColor="accent1" w:themeShade="BF"/>
      <w:spacing w:val="5"/>
    </w:rPr>
  </w:style>
  <w:style w:type="paragraph" w:styleId="Corp-Title" w:customStyle="1">
    <w:name w:val="Corp-Title"/>
    <w:next w:val="Normal"/>
    <w:qFormat/>
    <w:rsid w:val="008F2883"/>
    <w:pPr>
      <w:spacing w:after="200" w:line="276" w:lineRule="auto"/>
    </w:pPr>
    <w:rPr>
      <w:rFonts w:ascii="Calibri" w:hAnsi="Calibri" w:eastAsiaTheme="majorEastAsia" w:cstheme="majorBidi"/>
      <w:b/>
      <w:color w:val="1A8095"/>
      <w:kern w:val="28"/>
      <w:sz w:val="44"/>
      <w:szCs w:val="36"/>
      <w14:ligatures w14:val="none"/>
    </w:rPr>
  </w:style>
  <w:style w:type="paragraph" w:styleId="TOC1">
    <w:name w:val="toc 1"/>
    <w:basedOn w:val="Normal"/>
    <w:next w:val="Normal"/>
    <w:autoRedefine/>
    <w:uiPriority w:val="39"/>
    <w:unhideWhenUsed/>
    <w:rsid w:val="008F2883"/>
    <w:pPr>
      <w:spacing w:after="100" w:line="276" w:lineRule="auto"/>
    </w:pPr>
    <w:rPr>
      <w:rFonts w:eastAsiaTheme="minorEastAsia"/>
      <w:color w:val="0E2841" w:themeColor="text2"/>
      <w:kern w:val="0"/>
      <w:sz w:val="22"/>
      <w:szCs w:val="22"/>
      <w14:ligatures w14:val="none"/>
    </w:rPr>
  </w:style>
  <w:style w:type="paragraph" w:styleId="TOC2">
    <w:name w:val="toc 2"/>
    <w:basedOn w:val="Normal"/>
    <w:next w:val="Normal"/>
    <w:autoRedefine/>
    <w:uiPriority w:val="39"/>
    <w:unhideWhenUsed/>
    <w:rsid w:val="008F2883"/>
    <w:pPr>
      <w:spacing w:after="100" w:line="276" w:lineRule="auto"/>
      <w:ind w:left="220"/>
    </w:pPr>
    <w:rPr>
      <w:rFonts w:eastAsiaTheme="minorEastAsia"/>
      <w:color w:val="000000" w:themeColor="text1"/>
      <w:kern w:val="0"/>
      <w:sz w:val="22"/>
      <w:szCs w:val="22"/>
      <w14:ligatures w14:val="none"/>
    </w:rPr>
  </w:style>
  <w:style w:type="paragraph" w:styleId="TOC3">
    <w:name w:val="toc 3"/>
    <w:basedOn w:val="Normal"/>
    <w:next w:val="Normal"/>
    <w:autoRedefine/>
    <w:uiPriority w:val="39"/>
    <w:unhideWhenUsed/>
    <w:rsid w:val="008F2883"/>
    <w:pPr>
      <w:spacing w:after="100" w:line="276" w:lineRule="auto"/>
      <w:ind w:left="440"/>
    </w:pPr>
    <w:rPr>
      <w:rFonts w:eastAsiaTheme="minorEastAsia"/>
      <w:color w:val="000000" w:themeColor="text1"/>
      <w:kern w:val="0"/>
      <w:sz w:val="22"/>
      <w:szCs w:val="22"/>
      <w14:ligatures w14:val="none"/>
    </w:rPr>
  </w:style>
  <w:style w:type="character" w:styleId="Hyperlink">
    <w:name w:val="Hyperlink"/>
    <w:basedOn w:val="DefaultParagraphFont"/>
    <w:uiPriority w:val="99"/>
    <w:unhideWhenUsed/>
    <w:rsid w:val="008F2883"/>
    <w:rPr>
      <w:color w:val="467886" w:themeColor="hyperlink"/>
      <w:u w:val="single"/>
    </w:rPr>
  </w:style>
  <w:style w:type="table" w:styleId="InfoTable" w:customStyle="1">
    <w:name w:val="Info Table"/>
    <w:basedOn w:val="TableNormal"/>
    <w:uiPriority w:val="99"/>
    <w:rsid w:val="008F2883"/>
    <w:pPr>
      <w:spacing w:after="0" w:line="240" w:lineRule="auto"/>
    </w:pPr>
    <w:rPr>
      <w:b/>
      <w:kern w:val="0"/>
      <w:sz w:val="22"/>
      <w:szCs w:val="22"/>
      <w14:ligatures w14:val="none"/>
    </w:rPr>
    <w:tblPr>
      <w:tblBorders>
        <w:insideH w:val="dashSmallGap" w:color="7F7F7F" w:themeColor="text1" w:themeTint="80" w:sz="4" w:space="0"/>
        <w:insideV w:val="single" w:color="auto" w:sz="4" w:space="0"/>
      </w:tblBorders>
      <w:tblCellMar>
        <w:top w:w="187" w:type="dxa"/>
        <w:left w:w="144" w:type="dxa"/>
        <w:bottom w:w="187" w:type="dxa"/>
        <w:right w:w="144" w:type="dxa"/>
      </w:tblCellMar>
    </w:tblPr>
    <w:tblStylePr w:type="firstCol">
      <w:rPr>
        <w:b/>
        <w:i w:val="0"/>
        <w:caps/>
        <w:smallCaps w:val="0"/>
        <w:color w:val="7F7F7F" w:themeColor="text1" w:themeTint="80"/>
      </w:rPr>
    </w:tblStylePr>
    <w:tblStylePr w:type="lastCol">
      <w:rPr>
        <w:b/>
      </w:rPr>
    </w:tblStylePr>
  </w:style>
  <w:style w:type="paragraph" w:styleId="TOCHeading">
    <w:name w:val="TOC Heading"/>
    <w:basedOn w:val="Heading1"/>
    <w:next w:val="Normal"/>
    <w:uiPriority w:val="39"/>
    <w:unhideWhenUsed/>
    <w:qFormat/>
    <w:rsid w:val="008F2883"/>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8F2883"/>
    <w:rPr>
      <w:color w:val="808080"/>
    </w:rPr>
  </w:style>
  <w:style w:type="character" w:styleId="UnresolvedMention">
    <w:name w:val="Unresolved Mention"/>
    <w:basedOn w:val="DefaultParagraphFont"/>
    <w:uiPriority w:val="99"/>
    <w:semiHidden/>
    <w:unhideWhenUsed/>
    <w:rsid w:val="00710F43"/>
    <w:rPr>
      <w:color w:val="605E5C"/>
      <w:shd w:val="clear" w:color="auto" w:fill="E1DFDD"/>
    </w:rPr>
  </w:style>
  <w:style w:type="character" w:styleId="FollowedHyperlink">
    <w:name w:val="FollowedHyperlink"/>
    <w:basedOn w:val="DefaultParagraphFont"/>
    <w:uiPriority w:val="99"/>
    <w:semiHidden/>
    <w:unhideWhenUsed/>
    <w:rsid w:val="003344DA"/>
    <w:rPr>
      <w:color w:val="96607D" w:themeColor="followedHyperlink"/>
      <w:u w:val="single"/>
    </w:rPr>
  </w:style>
  <w:style w:type="paragraph" w:styleId="NormalWeb">
    <w:name w:val="Normal (Web)"/>
    <w:basedOn w:val="Normal"/>
    <w:uiPriority w:val="99"/>
    <w:semiHidden/>
    <w:unhideWhenUsed/>
    <w:rsid w:val="00561E7B"/>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fabric/onelake/onelake-overview" TargetMode="External"/><Relationship Id="rId18" Type="http://schemas.openxmlformats.org/officeDocument/2006/relationships/image" Target="media/image4.emf"/><Relationship Id="rId26" Type="http://schemas.openxmlformats.org/officeDocument/2006/relationships/hyperlink" Target="https://learn.microsoft.com/en-us/fabric/onelake/onelake-overview" TargetMode="External"/><Relationship Id="rId39" Type="http://schemas.openxmlformats.org/officeDocument/2006/relationships/hyperlink" Target="https://www.youtube.com/watch?v=Av44Nrhl05s" TargetMode="External"/><Relationship Id="rId21" Type="http://schemas.openxmlformats.org/officeDocument/2006/relationships/package" Target="embeddings/Microsoft_Visio_Drawing3.vsdx"/><Relationship Id="rId34" Type="http://schemas.openxmlformats.org/officeDocument/2006/relationships/hyperlink" Target="https://learn.microsoft.com/en-us/fabric/data-warehouse/howto-dynamic-data-masking" TargetMode="External"/><Relationship Id="rId42" Type="http://schemas.openxmlformats.org/officeDocument/2006/relationships/theme" Target="theme/theme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3.emf"/><Relationship Id="rId29" Type="http://schemas.openxmlformats.org/officeDocument/2006/relationships/hyperlink" Target="https://learn.microsoft.com/en-us/fabric/onelake/onelake-medallion-lakehouse-architecture" TargetMode="External"/><Relationship Id="rId1" Type="http://schemas.openxmlformats.org/officeDocument/2006/relationships/numbering" Target="numbering.xml"/><Relationship Id="rId6" Type="http://schemas.openxmlformats.org/officeDocument/2006/relationships/hyperlink" Target="https://arch-center.azureedge.net/fabric-deployment-pattern.vsdx" TargetMode="External"/><Relationship Id="rId11" Type="http://schemas.openxmlformats.org/officeDocument/2006/relationships/hyperlink" Target="https://learn.microsoft.com/en-us/fabric/fundamentals/fabric-home" TargetMode="External"/><Relationship Id="rId24" Type="http://schemas.openxmlformats.org/officeDocument/2006/relationships/hyperlink" Target="https://learn.microsoft.com/en-us/fabric/data-factory/compare-fabric-data-factory-and-azure-data-factory" TargetMode="External"/><Relationship Id="rId32" Type="http://schemas.openxmlformats.org/officeDocument/2006/relationships/hyperlink" Target="https://learn.microsoft.com/en-us/fabric/fundamentals/microsoft-fabric-overview" TargetMode="External"/><Relationship Id="rId37" Type="http://schemas.openxmlformats.org/officeDocument/2006/relationships/hyperlink" Target="https://docs.oracle.com/database/121/SUTIL/GUID-D2DDD67C-E1CC-45A6-A2A7-198E4C142FA3.htm" TargetMode="External"/><Relationship Id="rId40" Type="http://schemas.openxmlformats.org/officeDocument/2006/relationships/fontTable" Target="fontTable.xml"/><Relationship Id="rId45" Type="http://schemas.openxmlformats.org/officeDocument/2006/relationships/customXml" Target="../customXml/item3.xml"/><Relationship Id="rId5" Type="http://schemas.openxmlformats.org/officeDocument/2006/relationships/hyperlink" Target="https://learn.microsoft.com/en-us/azure/architecture/data-guide/technology-choices/fabric-deployment-patterns" TargetMode="External"/><Relationship Id="rId15" Type="http://schemas.openxmlformats.org/officeDocument/2006/relationships/hyperlink" Target="https://learn.microsoft.com/en-us/fabric/enterprise/licenses" TargetMode="External"/><Relationship Id="rId23" Type="http://schemas.openxmlformats.org/officeDocument/2006/relationships/image" Target="media/image6.png"/><Relationship Id="rId28" Type="http://schemas.openxmlformats.org/officeDocument/2006/relationships/hyperlink" Target="https://learn.microsoft.com/en-us/azure/databricks/lakehouse/medallion" TargetMode="External"/><Relationship Id="rId36" Type="http://schemas.openxmlformats.org/officeDocument/2006/relationships/hyperlink" Target="https://learn.microsoft.com/en-us/fabric/governance/information-protection" TargetMode="External"/><Relationship Id="rId10" Type="http://schemas.openxmlformats.org/officeDocument/2006/relationships/image" Target="media/image2.png"/><Relationship Id="rId19" Type="http://schemas.openxmlformats.org/officeDocument/2006/relationships/package" Target="embeddings/Microsoft_Visio_Drawing2.vsdx"/><Relationship Id="rId31" Type="http://schemas.openxmlformats.org/officeDocument/2006/relationships/hyperlink" Target="https://www.microsoft.com/en-ca/microsoft-fabric" TargetMode="External"/><Relationship Id="rId44"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youtu.be/J4i5lcROJcs?t=991" TargetMode="External"/><Relationship Id="rId14" Type="http://schemas.openxmlformats.org/officeDocument/2006/relationships/hyperlink" Target="https://learn.microsoft.com/en-us/fabric/governance/onelake-catalog-overview" TargetMode="External"/><Relationship Id="rId22" Type="http://schemas.openxmlformats.org/officeDocument/2006/relationships/hyperlink" Target="https://youtu.be/J4i5lcROJcs?t=1161" TargetMode="External"/><Relationship Id="rId27" Type="http://schemas.openxmlformats.org/officeDocument/2006/relationships/hyperlink" Target="https://www.microsoft.com/en-ca/microsoft-fabric" TargetMode="External"/><Relationship Id="rId30" Type="http://schemas.openxmlformats.org/officeDocument/2006/relationships/hyperlink" Target="https://youtu.be/Av44Nrhl05s?t=340" TargetMode="External"/><Relationship Id="rId35" Type="http://schemas.openxmlformats.org/officeDocument/2006/relationships/hyperlink" Target="https://learn.microsoft.com/en-us/fabric/data-factory/data-obfuscation-with-delphix" TargetMode="External"/><Relationship Id="rId43" Type="http://schemas.openxmlformats.org/officeDocument/2006/relationships/customXml" Target="../customXml/item1.xml"/><Relationship Id="rId8" Type="http://schemas.openxmlformats.org/officeDocument/2006/relationships/package" Target="embeddings/Microsoft_Visio_Drawing.vsdx"/><Relationship Id="rId3" Type="http://schemas.openxmlformats.org/officeDocument/2006/relationships/settings" Target="settings.xml"/><Relationship Id="rId12" Type="http://schemas.openxmlformats.org/officeDocument/2006/relationships/hyperlink" Target="https://learn.microsoft.com/en-us/fabric/governance/domains" TargetMode="External"/><Relationship Id="rId17" Type="http://schemas.openxmlformats.org/officeDocument/2006/relationships/package" Target="embeddings/Microsoft_Visio_Drawing1.vsdx"/><Relationship Id="rId25" Type="http://schemas.openxmlformats.org/officeDocument/2006/relationships/hyperlink" Target="https://learn.microsoft.com/en-us/fabric/data-engineering/how-to-use-notebook" TargetMode="External"/><Relationship Id="rId33" Type="http://schemas.openxmlformats.org/officeDocument/2006/relationships/hyperlink" Target="https://docs.github.com/actions" TargetMode="External"/><Relationship Id="rId38" Type="http://schemas.openxmlformats.org/officeDocument/2006/relationships/hyperlink" Target="https://docs.oracle.com/en/middleware/goldengate/core/19.1/coredoc/enabling-minimum-database-level-supplemental-logging_19c.html" TargetMode="External"/><Relationship Id="rId20" Type="http://schemas.openxmlformats.org/officeDocument/2006/relationships/image" Target="media/image5.emf"/><Relationship Id="rId41" Type="http://schemas.openxmlformats.org/officeDocument/2006/relationships/glossaryDocument" Target="glossary/document.xml"/><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DE119E80EB4AF685AC9BD87F79FBD3"/>
        <w:category>
          <w:name w:val="General"/>
          <w:gallery w:val="placeholder"/>
        </w:category>
        <w:types>
          <w:type w:val="bbPlcHdr"/>
        </w:types>
        <w:behaviors>
          <w:behavior w:val="content"/>
        </w:behaviors>
        <w:guid w:val="{EF59BF9B-9942-4A57-9355-68719673ED9D}"/>
      </w:docPartPr>
      <w:docPartBody>
        <w:p xmlns:wp14="http://schemas.microsoft.com/office/word/2010/wordml" w:rsidR="00851932" w:rsidP="00232A8C" w:rsidRDefault="00232A8C" w14:paraId="165223A2" wp14:textId="77777777">
          <w:pPr>
            <w:pStyle w:val="E9DE119E80EB4AF685AC9BD87F79FBD3"/>
          </w:pPr>
          <w:r w:rsidRPr="003562F2">
            <w:rPr>
              <w:rStyle w:val="PlaceholderText"/>
            </w:rPr>
            <w:t>[Company]</w:t>
          </w:r>
        </w:p>
      </w:docPartBody>
    </w:docPart>
    <w:docPart>
      <w:docPartPr>
        <w:name w:val="47AACF1336ED4E088581C671124F4DA8"/>
        <w:category>
          <w:name w:val="General"/>
          <w:gallery w:val="placeholder"/>
        </w:category>
        <w:types>
          <w:type w:val="bbPlcHdr"/>
        </w:types>
        <w:behaviors>
          <w:behavior w:val="content"/>
        </w:behaviors>
        <w:guid w:val="{D110CEA7-AB83-4DD6-82A6-D19EDABFCFCA}"/>
      </w:docPartPr>
      <w:docPartBody>
        <w:p xmlns:wp14="http://schemas.microsoft.com/office/word/2010/wordml" w:rsidR="00851932" w:rsidP="00232A8C" w:rsidRDefault="00232A8C" w14:paraId="72EE8D63" wp14:textId="77777777">
          <w:pPr>
            <w:pStyle w:val="47AACF1336ED4E088581C671124F4DA8"/>
          </w:pPr>
          <w:r w:rsidRPr="003562F2">
            <w:rPr>
              <w:rStyle w:val="PlaceholderText"/>
            </w:rPr>
            <w:t>[Title]</w:t>
          </w:r>
        </w:p>
      </w:docPartBody>
    </w:docPart>
    <w:docPart>
      <w:docPartPr>
        <w:name w:val="56A5DB84C7364A9F9A015BE76ACA2AF5"/>
        <w:category>
          <w:name w:val="General"/>
          <w:gallery w:val="placeholder"/>
        </w:category>
        <w:types>
          <w:type w:val="bbPlcHdr"/>
        </w:types>
        <w:behaviors>
          <w:behavior w:val="content"/>
        </w:behaviors>
        <w:guid w:val="{97E98F20-3DDB-4D02-BDFD-6731A0A205E2}"/>
      </w:docPartPr>
      <w:docPartBody>
        <w:p xmlns:wp14="http://schemas.microsoft.com/office/word/2010/wordml" w:rsidR="00851932" w:rsidP="00232A8C" w:rsidRDefault="00232A8C" w14:paraId="69FAD3FC" wp14:textId="77777777">
          <w:pPr>
            <w:pStyle w:val="56A5DB84C7364A9F9A015BE76ACA2AF5"/>
          </w:pPr>
          <w:r w:rsidRPr="00C52EAC">
            <w:rPr>
              <w:rStyle w:val="PlaceholderText"/>
            </w:rPr>
            <w:t xml:space="preserve">Click or tap here to enter </w:t>
          </w:r>
          <w:r>
            <w:rPr>
              <w:rStyle w:val="PlaceholderText"/>
            </w:rPr>
            <w:t>name(s)</w:t>
          </w:r>
          <w:r w:rsidRPr="00C52EAC">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8C"/>
    <w:rsid w:val="00232A8C"/>
    <w:rsid w:val="0030061B"/>
    <w:rsid w:val="0031091C"/>
    <w:rsid w:val="00316DE2"/>
    <w:rsid w:val="004B4887"/>
    <w:rsid w:val="00851932"/>
    <w:rsid w:val="0091662B"/>
    <w:rsid w:val="00917D61"/>
    <w:rsid w:val="00A03CCD"/>
    <w:rsid w:val="00AD21DB"/>
    <w:rsid w:val="00C721ED"/>
    <w:rsid w:val="00D60D66"/>
    <w:rsid w:val="00DC1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A8C"/>
    <w:rPr>
      <w:color w:val="808080"/>
    </w:rPr>
  </w:style>
  <w:style w:type="paragraph" w:customStyle="1" w:styleId="E9DE119E80EB4AF685AC9BD87F79FBD3">
    <w:name w:val="E9DE119E80EB4AF685AC9BD87F79FBD3"/>
    <w:rsid w:val="00232A8C"/>
  </w:style>
  <w:style w:type="paragraph" w:customStyle="1" w:styleId="47AACF1336ED4E088581C671124F4DA8">
    <w:name w:val="47AACF1336ED4E088581C671124F4DA8"/>
    <w:rsid w:val="00232A8C"/>
  </w:style>
  <w:style w:type="paragraph" w:customStyle="1" w:styleId="56A5DB84C7364A9F9A015BE76ACA2AF5">
    <w:name w:val="56A5DB84C7364A9F9A015BE76ACA2AF5"/>
    <w:rsid w:val="00232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E99929FD518F4F83EE7D5A2DADB069" ma:contentTypeVersion="10" ma:contentTypeDescription="Create a new document." ma:contentTypeScope="" ma:versionID="5025eb28eb5a0c15ce5ecf132c335863">
  <xsd:schema xmlns:xsd="http://www.w3.org/2001/XMLSchema" xmlns:xs="http://www.w3.org/2001/XMLSchema" xmlns:p="http://schemas.microsoft.com/office/2006/metadata/properties" xmlns:ns2="0f3994e2-cc39-437c-aa20-fcbd30d5d9fa" xmlns:ns3="81a9862f-c434-41f8-b334-f02bf18e954e" targetNamespace="http://schemas.microsoft.com/office/2006/metadata/properties" ma:root="true" ma:fieldsID="67eea1b060f3de16fe36a9adfed8fa1a" ns2:_="" ns3:_="">
    <xsd:import namespace="0f3994e2-cc39-437c-aa20-fcbd30d5d9fa"/>
    <xsd:import namespace="81a9862f-c434-41f8-b334-f02bf18e9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994e2-cc39-437c-aa20-fcbd30d5d9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9e1326-c0dc-4149-8480-82ec49dfff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1a9862f-c434-41f8-b334-f02bf18e95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eac0ef-3400-4565-a469-a8107ffae20f}" ma:internalName="TaxCatchAll" ma:showField="CatchAllData" ma:web="81a9862f-c434-41f8-b334-f02bf18e9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a9862f-c434-41f8-b334-f02bf18e954e" xsi:nil="true"/>
    <lcf76f155ced4ddcb4097134ff3c332f xmlns="0f3994e2-cc39-437c-aa20-fcbd30d5d9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427C8A-0DE0-4D86-BD24-4A5817FE9D17}"/>
</file>

<file path=customXml/itemProps2.xml><?xml version="1.0" encoding="utf-8"?>
<ds:datastoreItem xmlns:ds="http://schemas.openxmlformats.org/officeDocument/2006/customXml" ds:itemID="{3D0D4258-7D84-4951-BD8E-417CC395B018}"/>
</file>

<file path=customXml/itemProps3.xml><?xml version="1.0" encoding="utf-8"?>
<ds:datastoreItem xmlns:ds="http://schemas.openxmlformats.org/officeDocument/2006/customXml" ds:itemID="{3E3FE95C-AF32-41CB-A87D-19AAF6829534}"/>
</file>

<file path=docMetadata/LabelInfo.xml><?xml version="1.0" encoding="utf-8"?>
<clbl:labelList xmlns:clbl="http://schemas.microsoft.com/office/2020/mipLabelMetadata">
  <clbl:label id="{5aaac0e9-f7b8-495b-bbef-7a42a339329c}" enabled="0" method="" siteId="{5aaac0e9-f7b8-495b-bbef-7a42a339329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MS Fabric Architecture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2026</dc:title>
  <dc:subject/>
  <dc:creator>Scallion, Mike (BC Pension)</dc:creator>
  <cp:keywords/>
  <dc:description/>
  <cp:lastModifiedBy>Scallion, Mike (BC Pension)</cp:lastModifiedBy>
  <cp:revision>85</cp:revision>
  <dcterms:created xsi:type="dcterms:W3CDTF">2026-07-14T19:02:00Z</dcterms:created>
  <dcterms:modified xsi:type="dcterms:W3CDTF">2026-07-16T22:54:49Z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0x0101005CE99929FD518F4F83EE7D5A2DADB069</vt:lpwstr>
  </property>
</Properties>
</file>