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Fabric Control Plane — Working Guide</w:t>
      </w:r>
    </w:p>
    <w:p>
      <w:r>
        <w:rPr>
          <w:i/>
        </w:rPr>
        <w:t>Metadata-driven, config-first lakehouse platform for Microsoft Fabric</w:t>
      </w:r>
    </w:p>
    <w:p>
      <w:pPr>
        <w:pStyle w:val="Heading1"/>
      </w:pPr>
      <w:r>
        <w:t>1. Architecture at a glance</w:t>
      </w:r>
    </w:p>
    <w:p>
      <w:r>
        <w:t>You describe WHAT to load and build in config tables; the framework does the HOW — extract to bronze, curate to silver (with data quality), build a gold star schema — orchestrated by Fabric Data Pipelines and promotable across environments from git.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13968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3968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1. End-to-end architecture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9303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930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2. Medallion data flow (bronze → silver → gold)</w:t>
      </w:r>
    </w:p>
    <w:p>
      <w:pPr>
        <w:pStyle w:val="Heading2"/>
      </w:pPr>
      <w:r>
        <w:t>Key principles</w:t>
      </w:r>
    </w:p>
    <w:p>
      <w:pPr>
        <w:pStyle w:val="ListBullet"/>
      </w:pPr>
      <w:r>
        <w:t>Config is data, not code: authored config lives in config_db (T-SQL editable); runtime state/logs live in the metadata lakehouse. Only authored config is promoted.</w:t>
      </w:r>
    </w:p>
    <w:p>
      <w:pPr>
        <w:pStyle w:val="ListBullet"/>
      </w:pPr>
      <w:r>
        <w:t>Items vs data promotion: Fabric items promote together via deployment; config data promotes as YAML (cp_export_config → git → cp_config). Runtime state never promotes.</w:t>
      </w:r>
    </w:p>
    <w:p>
      <w:pPr>
        <w:pStyle w:val="ListBullet"/>
      </w:pPr>
      <w:r>
        <w:t>Notebooks are param-driven workers: they never read config; a planner (cp_plan) reads config and the pipeline fans work out to the workers.</w:t>
      </w:r>
    </w:p>
    <w:p>
      <w:pPr>
        <w:pStyle w:val="ListBullet"/>
      </w:pPr>
      <w:r>
        <w:t>Zero hardcoding: workspace + lakehouse IDs resolve at runtime; environment values come from the cp_vars Variable Library.</w:t>
      </w:r>
    </w:p>
    <w:p>
      <w:pPr>
        <w:pStyle w:val="Heading1"/>
      </w:pPr>
      <w:r>
        <w:t>2. Resources and what they do</w:t>
      </w:r>
    </w:p>
    <w:p>
      <w:pPr>
        <w:pStyle w:val="Heading2"/>
      </w:pPr>
      <w:r>
        <w:t>2.1 Lakehouses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Lakehouse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Contents</w:t>
            </w:r>
          </w:p>
        </w:tc>
      </w:tr>
      <w:tr>
        <w:tc>
          <w:tcPr>
            <w:tcW w:type="dxa" w:w="2880"/>
          </w:tcPr>
          <w:p>
            <w:r>
              <w:t>bronze</w:t>
            </w:r>
          </w:p>
        </w:tc>
        <w:tc>
          <w:tcPr>
            <w:tcW w:type="dxa" w:w="2880"/>
          </w:tcPr>
          <w:p>
            <w:r>
              <w:t>Raw landing (as-extracted)</w:t>
            </w:r>
          </w:p>
        </w:tc>
        <w:tc>
          <w:tcPr>
            <w:tcW w:type="dxa" w:w="2880"/>
          </w:tcPr>
          <w:p>
            <w:r>
              <w:t>&lt;source&gt;_&lt;schema&gt;_&lt;table&gt; Delta + control cols</w:t>
            </w:r>
          </w:p>
        </w:tc>
      </w:tr>
      <w:tr>
        <w:tc>
          <w:tcPr>
            <w:tcW w:type="dxa" w:w="2880"/>
          </w:tcPr>
          <w:p>
            <w:r>
              <w:t>silver</w:t>
            </w:r>
          </w:p>
        </w:tc>
        <w:tc>
          <w:tcPr>
            <w:tcW w:type="dxa" w:w="2880"/>
          </w:tcPr>
          <w:p>
            <w:r>
              <w:t>Curated, deduped, DQ-passed</w:t>
            </w:r>
          </w:p>
        </w:tc>
        <w:tc>
          <w:tcPr>
            <w:tcW w:type="dxa" w:w="2880"/>
          </w:tcPr>
          <w:p>
            <w:r>
              <w:t>same names; snake_case, _row_hash; quarantine_&lt;target&gt;</w:t>
            </w:r>
          </w:p>
        </w:tc>
      </w:tr>
      <w:tr>
        <w:tc>
          <w:tcPr>
            <w:tcW w:type="dxa" w:w="2880"/>
          </w:tcPr>
          <w:p>
            <w:r>
              <w:t>gold</w:t>
            </w:r>
          </w:p>
        </w:tc>
        <w:tc>
          <w:tcPr>
            <w:tcW w:type="dxa" w:w="2880"/>
          </w:tcPr>
          <w:p>
            <w:r>
              <w:t>Star schema (business)</w:t>
            </w:r>
          </w:p>
        </w:tc>
        <w:tc>
          <w:tcPr>
            <w:tcW w:type="dxa" w:w="2880"/>
          </w:tcPr>
          <w:p>
            <w:r>
              <w:t>dim_* / fact_*; plus stage_*</w:t>
            </w:r>
          </w:p>
        </w:tc>
      </w:tr>
      <w:tr>
        <w:tc>
          <w:tcPr>
            <w:tcW w:type="dxa" w:w="2880"/>
          </w:tcPr>
          <w:p>
            <w:r>
              <w:t>metadata</w:t>
            </w:r>
          </w:p>
        </w:tc>
        <w:tc>
          <w:tcPr>
            <w:tcW w:type="dxa" w:w="2880"/>
          </w:tcPr>
          <w:p>
            <w:r>
              <w:t>Runtime state + logs + config mirror</w:t>
            </w:r>
          </w:p>
        </w:tc>
        <w:tc>
          <w:tcPr>
            <w:tcW w:type="dxa" w:w="2880"/>
          </w:tcPr>
          <w:p>
            <w:r>
              <w:t>audit/state tables; error tracebacks in Files</w:t>
            </w:r>
          </w:p>
        </w:tc>
      </w:tr>
    </w:tbl>
    <w:p/>
    <w:p>
      <w:pPr>
        <w:pStyle w:val="Heading2"/>
      </w:pPr>
      <w:r>
        <w:t>2.2 config_db (Fabric SQL Database)</w:t>
      </w:r>
    </w:p>
    <w:p>
      <w:r>
        <w:t>Holds the authored config tables (section 4). Edited with T-SQL. Auto-mirrors to OneLake; tooling reads/writes via pyodbc + Entra token.</w:t>
      </w:r>
    </w:p>
    <w:p>
      <w:pPr>
        <w:pStyle w:val="Heading2"/>
      </w:pPr>
      <w:r>
        <w:t>2.3 Variable Library cp_vars</w:t>
      </w:r>
    </w:p>
    <w:p>
      <w:r>
        <w:t>Per-environment values, swappable via value sets: lakehouse names, source_server, source_connection. Notebooks read it at runtime.</w:t>
      </w:r>
    </w:p>
    <w:p>
      <w:pPr>
        <w:pStyle w:val="Heading2"/>
      </w:pPr>
      <w:r>
        <w:t>2.4 Notebooks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Notebook</w:t>
            </w:r>
          </w:p>
        </w:tc>
        <w:tc>
          <w:tcPr>
            <w:tcW w:type="dxa" w:w="2160"/>
          </w:tcPr>
          <w:p>
            <w:r>
              <w:rPr>
                <w:b/>
              </w:rPr>
              <w:t>Folder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Role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Key parameters</w:t>
            </w:r>
          </w:p>
        </w:tc>
      </w:tr>
      <w:tr>
        <w:tc>
          <w:tcPr>
            <w:tcW w:type="dxa" w:w="2160"/>
          </w:tcPr>
          <w:p>
            <w:r>
              <w:t>cp_framework</w:t>
            </w:r>
          </w:p>
        </w:tc>
        <w:tc>
          <w:tcPr>
            <w:tcW w:type="dxa" w:w="2160"/>
          </w:tcPr>
          <w:p>
            <w:r>
              <w:t>utility</w:t>
            </w:r>
          </w:p>
        </w:tc>
        <w:tc>
          <w:tcPr>
            <w:tcW w:type="dxa" w:w="2160"/>
          </w:tcPr>
          <w:p>
            <w:r>
              <w:t>Shared library (%run by all): paths, config read, JDBC, Delta helpers, gold writers, DAG sort, audit</w:t>
            </w:r>
          </w:p>
        </w:tc>
        <w:tc>
          <w:tcPr>
            <w:tcW w:type="dxa" w:w="2160"/>
          </w:tcPr>
          <w:p>
            <w:r>
              <w:t>—</w:t>
            </w:r>
          </w:p>
        </w:tc>
      </w:tr>
      <w:tr>
        <w:tc>
          <w:tcPr>
            <w:tcW w:type="dxa" w:w="2160"/>
          </w:tcPr>
          <w:p>
            <w:r>
              <w:t>cp_plan</w:t>
            </w:r>
          </w:p>
        </w:tc>
        <w:tc>
          <w:tcPr>
            <w:tcW w:type="dxa" w:w="2160"/>
          </w:tcPr>
          <w:p>
            <w:r>
              <w:t>utility</w:t>
            </w:r>
          </w:p>
        </w:tc>
        <w:tc>
          <w:tcPr>
            <w:tcW w:type="dxa" w:w="2160"/>
          </w:tcPr>
          <w:p>
            <w:r>
              <w:t>Reads config_db, returns the ForEach work-list</w:t>
            </w:r>
          </w:p>
        </w:tc>
        <w:tc>
          <w:tcPr>
            <w:tcW w:type="dxa" w:w="2160"/>
          </w:tcPr>
          <w:p>
            <w:r>
              <w:t>load_group, plan_type</w:t>
            </w:r>
          </w:p>
        </w:tc>
      </w:tr>
      <w:tr>
        <w:tc>
          <w:tcPr>
            <w:tcW w:type="dxa" w:w="2160"/>
          </w:tcPr>
          <w:p>
            <w:r>
              <w:t>cp_log_fail</w:t>
            </w:r>
          </w:p>
        </w:tc>
        <w:tc>
          <w:tcPr>
            <w:tcW w:type="dxa" w:w="2160"/>
          </w:tcPr>
          <w:p>
            <w:r>
              <w:t>utility</w:t>
            </w:r>
          </w:p>
        </w:tc>
        <w:tc>
          <w:tcPr>
            <w:tcW w:type="dxa" w:w="2160"/>
          </w:tcPr>
          <w:p>
            <w:r>
              <w:t>Writes a failure row to pipeline_run_log</w:t>
            </w:r>
          </w:p>
        </w:tc>
        <w:tc>
          <w:tcPr>
            <w:tcW w:type="dxa" w:w="2160"/>
          </w:tcPr>
          <w:p>
            <w:r>
              <w:t>pipeline_name, run_id, load_group, activity, message</w:t>
            </w:r>
          </w:p>
        </w:tc>
      </w:tr>
      <w:tr>
        <w:tc>
          <w:tcPr>
            <w:tcW w:type="dxa" w:w="2160"/>
          </w:tcPr>
          <w:p>
            <w:r>
              <w:t>metadata_worker</w:t>
            </w:r>
          </w:p>
        </w:tc>
        <w:tc>
          <w:tcPr>
            <w:tcW w:type="dxa" w:w="2160"/>
          </w:tcPr>
          <w:p>
            <w:r>
              <w:t>notebook</w:t>
            </w:r>
          </w:p>
        </w:tc>
        <w:tc>
          <w:tcPr>
            <w:tcW w:type="dxa" w:w="2160"/>
          </w:tcPr>
          <w:p>
            <w:r>
              <w:t>Start run; discover source schema; log drift</w:t>
            </w:r>
          </w:p>
        </w:tc>
        <w:tc>
          <w:tcPr>
            <w:tcW w:type="dxa" w:w="2160"/>
          </w:tcPr>
          <w:p>
            <w:r>
              <w:t>run_id, load_group, src_user, src_password</w:t>
            </w:r>
          </w:p>
        </w:tc>
      </w:tr>
      <w:tr>
        <w:tc>
          <w:tcPr>
            <w:tcW w:type="dxa" w:w="2160"/>
          </w:tcPr>
          <w:p>
            <w:r>
              <w:t>bronze_worker</w:t>
            </w:r>
          </w:p>
        </w:tc>
        <w:tc>
          <w:tcPr>
            <w:tcW w:type="dxa" w:w="2160"/>
          </w:tcPr>
          <w:p>
            <w:r>
              <w:t>notebook</w:t>
            </w:r>
          </w:p>
        </w:tc>
        <w:tc>
          <w:tcPr>
            <w:tcW w:type="dxa" w:w="2160"/>
          </w:tcPr>
          <w:p>
            <w:r>
              <w:t>Extract ONE object to bronze (full/incremental)</w:t>
            </w:r>
          </w:p>
        </w:tc>
        <w:tc>
          <w:tcPr>
            <w:tcW w:type="dxa" w:w="2160"/>
          </w:tcPr>
          <w:p>
            <w:r>
              <w:t>run_id, object_json, src_user, src_password</w:t>
            </w:r>
          </w:p>
        </w:tc>
      </w:tr>
      <w:tr>
        <w:tc>
          <w:tcPr>
            <w:tcW w:type="dxa" w:w="2160"/>
          </w:tcPr>
          <w:p>
            <w:r>
              <w:t>silver_worker</w:t>
            </w:r>
          </w:p>
        </w:tc>
        <w:tc>
          <w:tcPr>
            <w:tcW w:type="dxa" w:w="2160"/>
          </w:tcPr>
          <w:p>
            <w:r>
              <w:t>notebook</w:t>
            </w:r>
          </w:p>
        </w:tc>
        <w:tc>
          <w:tcPr>
            <w:tcW w:type="dxa" w:w="2160"/>
          </w:tcPr>
          <w:p>
            <w:r>
              <w:t>Build silver for ONE object: dedupe, DQ→quarantine</w:t>
            </w:r>
          </w:p>
        </w:tc>
        <w:tc>
          <w:tcPr>
            <w:tcW w:type="dxa" w:w="2160"/>
          </w:tcPr>
          <w:p>
            <w:r>
              <w:t>run_id, object_json</w:t>
            </w:r>
          </w:p>
        </w:tc>
      </w:tr>
      <w:tr>
        <w:tc>
          <w:tcPr>
            <w:tcW w:type="dxa" w:w="2160"/>
          </w:tcPr>
          <w:p>
            <w:r>
              <w:t>gold_runner</w:t>
            </w:r>
          </w:p>
        </w:tc>
        <w:tc>
          <w:tcPr>
            <w:tcW w:type="dxa" w:w="2160"/>
          </w:tcPr>
          <w:p>
            <w:r>
              <w:t>notebook</w:t>
            </w:r>
          </w:p>
        </w:tc>
        <w:tc>
          <w:tcPr>
            <w:tcW w:type="dxa" w:w="2160"/>
          </w:tcPr>
          <w:p>
            <w:r>
              <w:t>Build ONE model's gold objects in DAG order (runs sq_*)</w:t>
            </w:r>
          </w:p>
        </w:tc>
        <w:tc>
          <w:tcPr>
            <w:tcW w:type="dxa" w:w="2160"/>
          </w:tcPr>
          <w:p>
            <w:r>
              <w:t>run_id, model_id</w:t>
            </w:r>
          </w:p>
        </w:tc>
      </w:tr>
      <w:tr>
        <w:tc>
          <w:tcPr>
            <w:tcW w:type="dxa" w:w="2160"/>
          </w:tcPr>
          <w:p>
            <w:r>
              <w:t>sq_*</w:t>
            </w:r>
          </w:p>
        </w:tc>
        <w:tc>
          <w:tcPr>
            <w:tcW w:type="dxa" w:w="2160"/>
          </w:tcPr>
          <w:p>
            <w:r>
              <w:t>sourcequery</w:t>
            </w:r>
          </w:p>
        </w:tc>
        <w:tc>
          <w:tcPr>
            <w:tcW w:type="dxa" w:w="2160"/>
          </w:tcPr>
          <w:p>
            <w:r>
              <w:t>Source-query builder per gold object: silver→stage→gold</w:t>
            </w:r>
          </w:p>
        </w:tc>
        <w:tc>
          <w:tcPr>
            <w:tcW w:type="dxa" w:w="2160"/>
          </w:tcPr>
          <w:p>
            <w:r>
              <w:t>run_id</w:t>
            </w:r>
          </w:p>
        </w:tc>
      </w:tr>
    </w:tbl>
    <w:p/>
    <w:p>
      <w:pPr>
        <w:pStyle w:val="Heading2"/>
      </w:pPr>
      <w:r>
        <w:t>2.5 Pipelines (in the 'pipeline' folder)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Pipeline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Parameters</w:t>
            </w:r>
          </w:p>
        </w:tc>
      </w:tr>
      <w:tr>
        <w:tc>
          <w:tcPr>
            <w:tcW w:type="dxa" w:w="2880"/>
          </w:tcPr>
          <w:p>
            <w:r>
              <w:t>cp_pl_main</w:t>
            </w:r>
          </w:p>
        </w:tc>
        <w:tc>
          <w:tcPr>
            <w:tcW w:type="dxa" w:w="2880"/>
          </w:tcPr>
          <w:p>
            <w:r>
              <w:t>Orchestrator per load group: read steps, run 5 steps in order, skip inactive, fail-fast</w:t>
            </w:r>
          </w:p>
        </w:tc>
        <w:tc>
          <w:tcPr>
            <w:tcW w:type="dxa" w:w="2880"/>
          </w:tcPr>
          <w:p>
            <w:r>
              <w:t>load_group, run_id, src_user, src_password</w:t>
            </w:r>
          </w:p>
        </w:tc>
      </w:tr>
      <w:tr>
        <w:tc>
          <w:tcPr>
            <w:tcW w:type="dxa" w:w="2880"/>
          </w:tcPr>
          <w:p>
            <w:r>
              <w:t>cp_pl_metadata</w:t>
            </w:r>
          </w:p>
        </w:tc>
        <w:tc>
          <w:tcPr>
            <w:tcW w:type="dxa" w:w="2880"/>
          </w:tcPr>
          <w:p>
            <w:r>
              <w:t>Runs metadata_worker</w:t>
            </w:r>
          </w:p>
        </w:tc>
        <w:tc>
          <w:tcPr>
            <w:tcW w:type="dxa" w:w="2880"/>
          </w:tcPr>
          <w:p>
            <w:r>
              <w:t>load_group, run_id, src_user, src_password</w:t>
            </w:r>
          </w:p>
        </w:tc>
      </w:tr>
      <w:tr>
        <w:tc>
          <w:tcPr>
            <w:tcW w:type="dxa" w:w="2880"/>
          </w:tcPr>
          <w:p>
            <w:r>
              <w:t>cp_pl_bronze</w:t>
            </w:r>
          </w:p>
        </w:tc>
        <w:tc>
          <w:tcPr>
            <w:tcW w:type="dxa" w:w="2880"/>
          </w:tcPr>
          <w:p>
            <w:r>
              <w:t>cp_plan(objects) → ForEach → bronze_worker</w:t>
            </w:r>
          </w:p>
        </w:tc>
        <w:tc>
          <w:tcPr>
            <w:tcW w:type="dxa" w:w="2880"/>
          </w:tcPr>
          <w:p>
            <w:r>
              <w:t>load_group, run_id, src_user, src_password</w:t>
            </w:r>
          </w:p>
        </w:tc>
      </w:tr>
      <w:tr>
        <w:tc>
          <w:tcPr>
            <w:tcW w:type="dxa" w:w="2880"/>
          </w:tcPr>
          <w:p>
            <w:r>
              <w:t>cp_pl_silver</w:t>
            </w:r>
          </w:p>
        </w:tc>
        <w:tc>
          <w:tcPr>
            <w:tcW w:type="dxa" w:w="2880"/>
          </w:tcPr>
          <w:p>
            <w:r>
              <w:t>cp_plan(objects) → ForEach → silver_worker</w:t>
            </w:r>
          </w:p>
        </w:tc>
        <w:tc>
          <w:tcPr>
            <w:tcW w:type="dxa" w:w="2880"/>
          </w:tcPr>
          <w:p>
            <w:r>
              <w:t>load_group, run_id</w:t>
            </w:r>
          </w:p>
        </w:tc>
      </w:tr>
      <w:tr>
        <w:tc>
          <w:tcPr>
            <w:tcW w:type="dxa" w:w="2880"/>
          </w:tcPr>
          <w:p>
            <w:r>
              <w:t>cp_pl_gold</w:t>
            </w:r>
          </w:p>
        </w:tc>
        <w:tc>
          <w:tcPr>
            <w:tcW w:type="dxa" w:w="2880"/>
          </w:tcPr>
          <w:p>
            <w:r>
              <w:t>cp_plan(models) → ForEach → gold_runner</w:t>
            </w:r>
          </w:p>
        </w:tc>
        <w:tc>
          <w:tcPr>
            <w:tcW w:type="dxa" w:w="2880"/>
          </w:tcPr>
          <w:p>
            <w:r>
              <w:t>load_group, run_id</w:t>
            </w:r>
          </w:p>
        </w:tc>
      </w:tr>
      <w:tr>
        <w:tc>
          <w:tcPr>
            <w:tcW w:type="dxa" w:w="2880"/>
          </w:tcPr>
          <w:p>
            <w:r>
              <w:t>cp_pl_pbi</w:t>
            </w:r>
          </w:p>
        </w:tc>
        <w:tc>
          <w:tcPr>
            <w:tcW w:type="dxa" w:w="2880"/>
          </w:tcPr>
          <w:p>
            <w:r>
              <w:t>cp_plan(datasets) → ForEach → Power BI REST refresh (scaffold)</w:t>
            </w:r>
          </w:p>
        </w:tc>
        <w:tc>
          <w:tcPr>
            <w:tcW w:type="dxa" w:w="2880"/>
          </w:tcPr>
          <w:p>
            <w:r>
              <w:t>load_group, run_id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149510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14951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3. Main orchestrator: sequential, is_active-gated, fail-fast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168382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6838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4. Planner–worker pattern inside a child pipeline</w:t>
      </w:r>
    </w:p>
    <w:p>
      <w:r>
        <w:t>Every pipeline: on a work-activity failure → cp_log_fail writes to pipeline_run_log, then a Fail activity re-fails so cp_pl_main errors out (fail-fast).</w:t>
      </w:r>
    </w:p>
    <w:p>
      <w:pPr>
        <w:pStyle w:val="Heading1"/>
      </w:pPr>
      <w:r>
        <w:t>3. How to operate</w:t>
      </w:r>
    </w:p>
    <w:p>
      <w:pPr>
        <w:pStyle w:val="ListBullet"/>
      </w:pPr>
      <w:r>
        <w:t>Deploy an environment: python control_plane/deploy/cp_bootstrap.py &lt;workspace_base&gt; &lt;ENV&gt; (idempotent, deploy-only), or run the Deploy Control Plane GitHub Action.</w:t>
      </w:r>
    </w:p>
    <w:p>
      <w:pPr>
        <w:pStyle w:val="ListBullet"/>
      </w:pPr>
      <w:r>
        <w:t>Run the pipeline: trigger cp_pl_main(load_group, run_id, src_user, src_password).</w:t>
      </w:r>
    </w:p>
    <w:p>
      <w:pPr>
        <w:pStyle w:val="ListBullet"/>
      </w:pPr>
      <w:r>
        <w:t>Trial-capacity note: don't run two full pipelines on one capacity at once — Spark session slots are limited; run environments sequentially.</w:t>
      </w:r>
    </w:p>
    <w:p>
      <w:pPr>
        <w:pStyle w:val="ListBullet"/>
      </w:pPr>
      <w:r>
        <w:t>Author/change config: edit config_db via T-SQL, then cp_export_config (SQL→YAML, commit) and cp_config (YAML→target SQL) to promote.</w:t>
      </w:r>
    </w:p>
    <w:p>
      <w:pPr>
        <w:pStyle w:val="ListBullet"/>
      </w:pPr>
      <w:r>
        <w:t>Add a source object → source_object row; Add a gold table → sq_&lt;name&gt; + gold_object (+ gold_dependency); Add a DQ rule → dq_rule row; Toggle a step → steps.is_active.</w:t>
      </w:r>
    </w:p>
    <w:p>
      <w:pPr>
        <w:pStyle w:val="Heading1"/>
      </w:pPr>
      <w:r>
        <w:t>4. config_db table reference (authored config)</w:t>
      </w:r>
    </w:p>
    <w:p>
      <w:r>
        <w:t>is_active is a BIT on every authored table; only active rows are processed. Standard/enumerated values are noted below.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47509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4750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5. Config database — entity relationships</w:t>
      </w:r>
    </w:p>
    <w:p>
      <w:pPr>
        <w:pStyle w:val="Heading2"/>
      </w:pPr>
      <w:r>
        <w:t>4.1 datasource — source systems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Column</w:t>
            </w:r>
          </w:p>
        </w:tc>
        <w:tc>
          <w:tcPr>
            <w:tcW w:type="dxa" w:w="4320"/>
          </w:tcPr>
          <w:p>
            <w:r>
              <w:rPr>
                <w:b/>
              </w:rPr>
              <w:t>Notes / allowed values</w:t>
            </w:r>
          </w:p>
        </w:tc>
      </w:tr>
      <w:tr>
        <w:tc>
          <w:tcPr>
            <w:tcW w:type="dxa" w:w="4320"/>
          </w:tcPr>
          <w:p>
            <w:r>
              <w:t>source_id (PK)</w:t>
            </w:r>
          </w:p>
        </w:tc>
        <w:tc>
          <w:tcPr>
            <w:tcW w:type="dxa" w:w="4320"/>
          </w:tcPr>
          <w:p>
            <w:r>
              <w:t>unique id</w:t>
            </w:r>
          </w:p>
        </w:tc>
      </w:tr>
      <w:tr>
        <w:tc>
          <w:tcPr>
            <w:tcW w:type="dxa" w:w="4320"/>
          </w:tcPr>
          <w:p>
            <w:r>
              <w:t>source_name</w:t>
            </w:r>
          </w:p>
        </w:tc>
        <w:tc>
          <w:tcPr>
            <w:tcW w:type="dxa" w:w="4320"/>
          </w:tcPr>
          <w:p>
            <w:r>
              <w:t>display name</w:t>
            </w:r>
          </w:p>
        </w:tc>
      </w:tr>
      <w:tr>
        <w:tc>
          <w:tcPr>
            <w:tcW w:type="dxa" w:w="4320"/>
          </w:tcPr>
          <w:p>
            <w:r>
              <w:t>source_type</w:t>
            </w:r>
          </w:p>
        </w:tc>
        <w:tc>
          <w:tcPr>
            <w:tcW w:type="dxa" w:w="4320"/>
          </w:tcPr>
          <w:p>
            <w:r>
              <w:t>SQL</w:t>
            </w:r>
          </w:p>
        </w:tc>
      </w:tr>
      <w:tr>
        <w:tc>
          <w:tcPr>
            <w:tcW w:type="dxa" w:w="4320"/>
          </w:tcPr>
          <w:p>
            <w:r>
              <w:t>database_name</w:t>
            </w:r>
          </w:p>
        </w:tc>
        <w:tc>
          <w:tcPr>
            <w:tcW w:type="dxa" w:w="4320"/>
          </w:tcPr>
          <w:p>
            <w:r>
              <w:t>source database</w:t>
            </w:r>
          </w:p>
        </w:tc>
      </w:tr>
      <w:tr>
        <w:tc>
          <w:tcPr>
            <w:tcW w:type="dxa" w:w="4320"/>
          </w:tcPr>
          <w:p>
            <w:r>
              <w:t>load_group</w:t>
            </w:r>
          </w:p>
        </w:tc>
        <w:tc>
          <w:tcPr>
            <w:tcW w:type="dxa" w:w="4320"/>
          </w:tcPr>
          <w:p>
            <w:r>
              <w:t>the run unit; cp_pl_main runs one load group</w:t>
            </w:r>
          </w:p>
        </w:tc>
      </w:tr>
      <w:tr>
        <w:tc>
          <w:tcPr>
            <w:tcW w:type="dxa" w:w="4320"/>
          </w:tcPr>
          <w:p>
            <w:r>
              <w:t>ingestion_mode</w:t>
            </w:r>
          </w:p>
        </w:tc>
        <w:tc>
          <w:tcPr>
            <w:tcW w:type="dxa" w:w="4320"/>
          </w:tcPr>
          <w:p>
            <w:r>
              <w:t>custom_jdbc</w:t>
            </w:r>
          </w:p>
        </w:tc>
      </w:tr>
      <w:tr>
        <w:tc>
          <w:tcPr>
            <w:tcW w:type="dxa" w:w="4320"/>
          </w:tcPr>
          <w:p>
            <w:r>
              <w:t>is_active</w:t>
            </w:r>
          </w:p>
        </w:tc>
        <w:tc>
          <w:tcPr>
            <w:tcW w:type="dxa" w:w="4320"/>
          </w:tcPr>
          <w:p>
            <w:r>
              <w:t>BIT</w:t>
            </w:r>
          </w:p>
        </w:tc>
      </w:tr>
    </w:tbl>
    <w:p/>
    <w:p>
      <w:pPr>
        <w:pStyle w:val="Heading2"/>
      </w:pPr>
      <w:r>
        <w:t>4.2 source_object — objects to ingest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Column</w:t>
            </w:r>
          </w:p>
        </w:tc>
        <w:tc>
          <w:tcPr>
            <w:tcW w:type="dxa" w:w="4320"/>
          </w:tcPr>
          <w:p>
            <w:r>
              <w:rPr>
                <w:b/>
              </w:rPr>
              <w:t>Notes / allowed values</w:t>
            </w:r>
          </w:p>
        </w:tc>
      </w:tr>
      <w:tr>
        <w:tc>
          <w:tcPr>
            <w:tcW w:type="dxa" w:w="4320"/>
          </w:tcPr>
          <w:p>
            <w:r>
              <w:t>object_id (PK)</w:t>
            </w:r>
          </w:p>
        </w:tc>
        <w:tc>
          <w:tcPr>
            <w:tcW w:type="dxa" w:w="4320"/>
          </w:tcPr>
          <w:p>
            <w:r>
              <w:t>stable logical id (e.g. customer)</w:t>
            </w:r>
          </w:p>
        </w:tc>
      </w:tr>
      <w:tr>
        <w:tc>
          <w:tcPr>
            <w:tcW w:type="dxa" w:w="4320"/>
          </w:tcPr>
          <w:p>
            <w:r>
              <w:t>source_id (FK)</w:t>
            </w:r>
          </w:p>
        </w:tc>
        <w:tc>
          <w:tcPr>
            <w:tcW w:type="dxa" w:w="4320"/>
          </w:tcPr>
          <w:p>
            <w:r>
              <w:t>→ datasource</w:t>
            </w:r>
          </w:p>
        </w:tc>
      </w:tr>
      <w:tr>
        <w:tc>
          <w:tcPr>
            <w:tcW w:type="dxa" w:w="4320"/>
          </w:tcPr>
          <w:p>
            <w:r>
              <w:t>source_schema, source_table</w:t>
            </w:r>
          </w:p>
        </w:tc>
        <w:tc>
          <w:tcPr>
            <w:tcW w:type="dxa" w:w="4320"/>
          </w:tcPr>
          <w:p>
            <w:r>
              <w:t>source location</w:t>
            </w:r>
          </w:p>
        </w:tc>
      </w:tr>
      <w:tr>
        <w:tc>
          <w:tcPr>
            <w:tcW w:type="dxa" w:w="4320"/>
          </w:tcPr>
          <w:p>
            <w:r>
              <w:t>target_name</w:t>
            </w:r>
          </w:p>
        </w:tc>
        <w:tc>
          <w:tcPr>
            <w:tcW w:type="dxa" w:w="4320"/>
          </w:tcPr>
          <w:p>
            <w:r>
              <w:t>bronze/silver Delta table name</w:t>
            </w:r>
          </w:p>
        </w:tc>
      </w:tr>
      <w:tr>
        <w:tc>
          <w:tcPr>
            <w:tcW w:type="dxa" w:w="4320"/>
          </w:tcPr>
          <w:p>
            <w:r>
              <w:t>load_type</w:t>
            </w:r>
          </w:p>
        </w:tc>
        <w:tc>
          <w:tcPr>
            <w:tcW w:type="dxa" w:w="4320"/>
          </w:tcPr>
          <w:p>
            <w:r>
              <w:t>full = overwrite each run · incremental = append rows past the watermark</w:t>
            </w:r>
          </w:p>
        </w:tc>
      </w:tr>
      <w:tr>
        <w:tc>
          <w:tcPr>
            <w:tcW w:type="dxa" w:w="4320"/>
          </w:tcPr>
          <w:p>
            <w:r>
              <w:t>key_columns_json</w:t>
            </w:r>
          </w:p>
        </w:tc>
        <w:tc>
          <w:tcPr>
            <w:tcW w:type="dxa" w:w="4320"/>
          </w:tcPr>
          <w:p>
            <w:r>
              <w:t>business key(s), JSON array e.g. ["SalesOrderID","SalesOrderDetailID"]</w:t>
            </w:r>
          </w:p>
        </w:tc>
      </w:tr>
      <w:tr>
        <w:tc>
          <w:tcPr>
            <w:tcW w:type="dxa" w:w="4320"/>
          </w:tcPr>
          <w:p>
            <w:r>
              <w:t>watermark_column</w:t>
            </w:r>
          </w:p>
        </w:tc>
        <w:tc>
          <w:tcPr>
            <w:tcW w:type="dxa" w:w="4320"/>
          </w:tcPr>
          <w:p>
            <w:r>
              <w:t>column for incremental (e.g. ModifiedDate)</w:t>
            </w:r>
          </w:p>
        </w:tc>
      </w:tr>
      <w:tr>
        <w:tc>
          <w:tcPr>
            <w:tcW w:type="dxa" w:w="4320"/>
          </w:tcPr>
          <w:p>
            <w:r>
              <w:t>watermark_type</w:t>
            </w:r>
          </w:p>
        </w:tc>
        <w:tc>
          <w:tcPr>
            <w:tcW w:type="dxa" w:w="4320"/>
          </w:tcPr>
          <w:p>
            <w:r>
              <w:t>datetime</w:t>
            </w:r>
          </w:p>
        </w:tc>
      </w:tr>
      <w:tr>
        <w:tc>
          <w:tcPr>
            <w:tcW w:type="dxa" w:w="4320"/>
          </w:tcPr>
          <w:p>
            <w:r>
              <w:t>processing_state</w:t>
            </w:r>
          </w:p>
        </w:tc>
        <w:tc>
          <w:tcPr>
            <w:tcW w:type="dxa" w:w="4320"/>
          </w:tcPr>
          <w:p>
            <w:r>
              <w:t>ACTIVE (only ACTIVE objects run)</w:t>
            </w:r>
          </w:p>
        </w:tc>
      </w:tr>
      <w:tr>
        <w:tc>
          <w:tcPr>
            <w:tcW w:type="dxa" w:w="4320"/>
          </w:tcPr>
          <w:p>
            <w:r>
              <w:t>is_active</w:t>
            </w:r>
          </w:p>
        </w:tc>
        <w:tc>
          <w:tcPr>
            <w:tcW w:type="dxa" w:w="4320"/>
          </w:tcPr>
          <w:p>
            <w:r>
              <w:t>BIT</w:t>
            </w:r>
          </w:p>
        </w:tc>
      </w:tr>
    </w:tbl>
    <w:p/>
    <w:p>
      <w:r>
        <w:t>Incremental: first run pulls all and records max(watermark); later runs pull rows past the stored watermark and append. Full loads overwrite. Complex source types (xml/geography/geometry/hierarchyid/varbinary/image/sql_variant) are excluded automatically.</w:t>
      </w:r>
    </w:p>
    <w:p>
      <w:pPr>
        <w:pStyle w:val="Heading2"/>
      </w:pPr>
      <w:r>
        <w:t>4.3 dq_rule — data-quality rules (evaluated on silver)</w:t>
      </w:r>
    </w:p>
    <w:p>
      <w:r>
        <w:t>column_name is the SILVER column (snake_case), e.g. total_due, customer_id.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rule_type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Fill these columns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Passes when</w:t>
            </w:r>
          </w:p>
        </w:tc>
        <w:tc>
          <w:tcPr>
            <w:tcW w:type="dxa" w:w="2160"/>
          </w:tcPr>
          <w:p>
            <w:r>
              <w:rPr>
                <w:b/>
              </w:rPr>
              <w:t>Example</w:t>
            </w:r>
          </w:p>
        </w:tc>
      </w:tr>
      <w:tr>
        <w:tc>
          <w:tcPr>
            <w:tcW w:type="dxa" w:w="2160"/>
          </w:tcPr>
          <w:p>
            <w:r>
              <w:t>not_null</w:t>
            </w:r>
          </w:p>
        </w:tc>
        <w:tc>
          <w:tcPr>
            <w:tcW w:type="dxa" w:w="2160"/>
          </w:tcPr>
          <w:p>
            <w:r>
              <w:t>column_name</w:t>
            </w:r>
          </w:p>
        </w:tc>
        <w:tc>
          <w:tcPr>
            <w:tcW w:type="dxa" w:w="2160"/>
          </w:tcPr>
          <w:p>
            <w:r>
              <w:t>column IS NOT NULL</w:t>
            </w:r>
          </w:p>
        </w:tc>
        <w:tc>
          <w:tcPr>
            <w:tcW w:type="dxa" w:w="2160"/>
          </w:tcPr>
          <w:p>
            <w:r>
              <w:t>customer_id not null</w:t>
            </w:r>
          </w:p>
        </w:tc>
      </w:tr>
      <w:tr>
        <w:tc>
          <w:tcPr>
            <w:tcW w:type="dxa" w:w="2160"/>
          </w:tcPr>
          <w:p>
            <w:r>
              <w:t>min</w:t>
            </w:r>
          </w:p>
        </w:tc>
        <w:tc>
          <w:tcPr>
            <w:tcW w:type="dxa" w:w="2160"/>
          </w:tcPr>
          <w:p>
            <w:r>
              <w:t>column_name, min_value</w:t>
            </w:r>
          </w:p>
        </w:tc>
        <w:tc>
          <w:tcPr>
            <w:tcW w:type="dxa" w:w="2160"/>
          </w:tcPr>
          <w:p>
            <w:r>
              <w:t>column ≥ min (NULL passes)</w:t>
            </w:r>
          </w:p>
        </w:tc>
        <w:tc>
          <w:tcPr>
            <w:tcW w:type="dxa" w:w="2160"/>
          </w:tcPr>
          <w:p>
            <w:r>
              <w:t>total_due ≥ 0</w:t>
            </w:r>
          </w:p>
        </w:tc>
      </w:tr>
      <w:tr>
        <w:tc>
          <w:tcPr>
            <w:tcW w:type="dxa" w:w="2160"/>
          </w:tcPr>
          <w:p>
            <w:r>
              <w:t>max</w:t>
            </w:r>
          </w:p>
        </w:tc>
        <w:tc>
          <w:tcPr>
            <w:tcW w:type="dxa" w:w="2160"/>
          </w:tcPr>
          <w:p>
            <w:r>
              <w:t>column_name, max_value</w:t>
            </w:r>
          </w:p>
        </w:tc>
        <w:tc>
          <w:tcPr>
            <w:tcW w:type="dxa" w:w="2160"/>
          </w:tcPr>
          <w:p>
            <w:r>
              <w:t>column ≤ max (NULL passes)</w:t>
            </w:r>
          </w:p>
        </w:tc>
        <w:tc>
          <w:tcPr>
            <w:tcW w:type="dxa" w:w="2160"/>
          </w:tcPr>
          <w:p>
            <w:r>
              <w:t>discount ≤ 1</w:t>
            </w:r>
          </w:p>
        </w:tc>
      </w:tr>
      <w:tr>
        <w:tc>
          <w:tcPr>
            <w:tcW w:type="dxa" w:w="2160"/>
          </w:tcPr>
          <w:p>
            <w:r>
              <w:t>allowed_values</w:t>
            </w:r>
          </w:p>
        </w:tc>
        <w:tc>
          <w:tcPr>
            <w:tcW w:type="dxa" w:w="2160"/>
          </w:tcPr>
          <w:p>
            <w:r>
              <w:t>column_name, allowed_values_json</w:t>
            </w:r>
          </w:p>
        </w:tc>
        <w:tc>
          <w:tcPr>
            <w:tcW w:type="dxa" w:w="2160"/>
          </w:tcPr>
          <w:p>
            <w:r>
              <w:t>column ∈ list (NULL passes)</w:t>
            </w:r>
          </w:p>
        </w:tc>
        <w:tc>
          <w:tcPr>
            <w:tcW w:type="dxa" w:w="2160"/>
          </w:tcPr>
          <w:p>
            <w:r>
              <w:t>person_type ∈ ["EM","IN"]</w:t>
            </w:r>
          </w:p>
        </w:tc>
      </w:tr>
      <w:tr>
        <w:tc>
          <w:tcPr>
            <w:tcW w:type="dxa" w:w="2160"/>
          </w:tcPr>
          <w:p>
            <w:r>
              <w:t>expression</w:t>
            </w:r>
          </w:p>
        </w:tc>
        <w:tc>
          <w:tcPr>
            <w:tcW w:type="dxa" w:w="2160"/>
          </w:tcPr>
          <w:p>
            <w:r>
              <w:t>rule_expression (column_name optional)</w:t>
            </w:r>
          </w:p>
        </w:tc>
        <w:tc>
          <w:tcPr>
            <w:tcW w:type="dxa" w:w="2160"/>
          </w:tcPr>
          <w:p>
            <w:r>
              <w:t>the boolean expression is TRUE</w:t>
            </w:r>
          </w:p>
        </w:tc>
        <w:tc>
          <w:tcPr>
            <w:tcW w:type="dxa" w:w="2160"/>
          </w:tcPr>
          <w:p>
            <w:r>
              <w:t>order_qty &gt; 0 AND unit_price &gt;= 0</w:t>
            </w:r>
          </w:p>
        </w:tc>
      </w:tr>
    </w:tbl>
    <w:p/>
    <w:p>
      <w:r>
        <w:t>severity: error = failing rows quarantined and excluded from silver (written to quarantine_&lt;target&gt;); warn = counted in dq_result only. All rule counts are recorded in dq_result.</w:t>
      </w:r>
    </w:p>
    <w:p>
      <w:r>
        <w:t>Example (T-SQL):  INSERT INTO dbo.dq_rule (rule_id, object_id, column_name, rule_type, min_value, severity, is_active) VALUES ('soh_total_due_nonneg','sales_order_header','total_due','min',0,'error',1);</w:t>
      </w:r>
    </w:p>
    <w:p>
      <w:pPr>
        <w:pStyle w:val="Heading2"/>
      </w:pPr>
      <w:r>
        <w:t>4.3b cleanse_rule — cleansing (transform) rules</w:t>
      </w:r>
    </w:p>
    <w:p>
      <w:r>
        <w:t>Cleansing FIXES rows on silver and runs BEFORE DQ validation, in apply_order. columns is a semicolon-separated list of SILVER (snake_case) columns; parameters_json holds the function params. Extensible at runtime via register_cleanse_function(). Cleanse fixes; DQ validates — cleansing runs first, then error-severity DQ rules quarantine whatever is still bad.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function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Params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Effect</w:t>
            </w:r>
          </w:p>
        </w:tc>
      </w:tr>
      <w:tr>
        <w:tc>
          <w:tcPr>
            <w:tcW w:type="dxa" w:w="2880"/>
          </w:tcPr>
          <w:p>
            <w:r>
              <w:t>trim</w:t>
            </w:r>
          </w:p>
        </w:tc>
        <w:tc>
          <w:tcPr>
            <w:tcW w:type="dxa" w:w="2880"/>
          </w:tcPr>
          <w:p>
            <w:r>
              <w:t>—</w:t>
            </w:r>
          </w:p>
        </w:tc>
        <w:tc>
          <w:tcPr>
            <w:tcW w:type="dxa" w:w="2880"/>
          </w:tcPr>
          <w:p>
            <w:r>
              <w:t>trim whitespace</w:t>
            </w:r>
          </w:p>
        </w:tc>
      </w:tr>
      <w:tr>
        <w:tc>
          <w:tcPr>
            <w:tcW w:type="dxa" w:w="2880"/>
          </w:tcPr>
          <w:p>
            <w:r>
              <w:t>normalize_text</w:t>
            </w:r>
          </w:p>
        </w:tc>
        <w:tc>
          <w:tcPr>
            <w:tcW w:type="dxa" w:w="2880"/>
          </w:tcPr>
          <w:p>
            <w:r>
              <w:t>case (lower/upper/title), collapse_spaces, empty_as_null</w:t>
            </w:r>
          </w:p>
        </w:tc>
        <w:tc>
          <w:tcPr>
            <w:tcW w:type="dxa" w:w="2880"/>
          </w:tcPr>
          <w:p>
            <w:r>
              <w:t>trim + collapse spaces + case + ""→null</w:t>
            </w:r>
          </w:p>
        </w:tc>
      </w:tr>
      <w:tr>
        <w:tc>
          <w:tcPr>
            <w:tcW w:type="dxa" w:w="2880"/>
          </w:tcPr>
          <w:p>
            <w:r>
              <w:t>fill_nulls</w:t>
            </w:r>
          </w:p>
        </w:tc>
        <w:tc>
          <w:tcPr>
            <w:tcW w:type="dxa" w:w="2880"/>
          </w:tcPr>
          <w:p>
            <w:r>
              <w:t>default</w:t>
            </w:r>
          </w:p>
        </w:tc>
        <w:tc>
          <w:tcPr>
            <w:tcW w:type="dxa" w:w="2880"/>
          </w:tcPr>
          <w:p>
            <w:r>
              <w:t>replace null with default</w:t>
            </w:r>
          </w:p>
        </w:tc>
      </w:tr>
      <w:tr>
        <w:tc>
          <w:tcPr>
            <w:tcW w:type="dxa" w:w="2880"/>
          </w:tcPr>
          <w:p>
            <w:r>
              <w:t>parse_datetime</w:t>
            </w:r>
          </w:p>
        </w:tc>
        <w:tc>
          <w:tcPr>
            <w:tcW w:type="dxa" w:w="2880"/>
          </w:tcPr>
          <w:p>
            <w:r>
              <w:t>target_type (date/timestamp), formats [..], into</w:t>
            </w:r>
          </w:p>
        </w:tc>
        <w:tc>
          <w:tcPr>
            <w:tcW w:type="dxa" w:w="2880"/>
          </w:tcPr>
          <w:p>
            <w:r>
              <w:t>parse string to date/timestamp (first matching format)</w:t>
            </w:r>
          </w:p>
        </w:tc>
      </w:tr>
      <w:tr>
        <w:tc>
          <w:tcPr>
            <w:tcW w:type="dxa" w:w="2880"/>
          </w:tcPr>
          <w:p>
            <w:r>
              <w:t>to_upper / to_lower / to_title</w:t>
            </w:r>
          </w:p>
        </w:tc>
        <w:tc>
          <w:tcPr>
            <w:tcW w:type="dxa" w:w="2880"/>
          </w:tcPr>
          <w:p>
            <w:r>
              <w:t>—</w:t>
            </w:r>
          </w:p>
        </w:tc>
        <w:tc>
          <w:tcPr>
            <w:tcW w:type="dxa" w:w="2880"/>
          </w:tcPr>
          <w:p>
            <w:r>
              <w:t>casing</w:t>
            </w:r>
          </w:p>
        </w:tc>
      </w:tr>
      <w:tr>
        <w:tc>
          <w:tcPr>
            <w:tcW w:type="dxa" w:w="2880"/>
          </w:tcPr>
          <w:p>
            <w:r>
              <w:t>replace</w:t>
            </w:r>
          </w:p>
        </w:tc>
        <w:tc>
          <w:tcPr>
            <w:tcW w:type="dxa" w:w="2880"/>
          </w:tcPr>
          <w:p>
            <w:r>
              <w:t>pattern, replacement</w:t>
            </w:r>
          </w:p>
        </w:tc>
        <w:tc>
          <w:tcPr>
            <w:tcW w:type="dxa" w:w="2880"/>
          </w:tcPr>
          <w:p>
            <w:r>
              <w:t>regex replace</w:t>
            </w:r>
          </w:p>
        </w:tc>
      </w:tr>
    </w:tbl>
    <w:p/>
    <w:p>
      <w:r>
        <w:t>function and columns are T-SQL reserved words — bracket-quote them ([function], [columns]).</w:t>
      </w:r>
    </w:p>
    <w:p>
      <w:r>
        <w:t>Example (T-SQL):  INSERT INTO dbo.cleanse_rule (rule_id, object_id, [function], [columns], parameters_json, apply_order, is_active) VALUES ('person_names_title','person','normalize_text','first_name;last_name','{"case":"title","collapse_spaces":true,"empty_as_null":true}',1,1);</w:t>
      </w:r>
    </w:p>
    <w:p>
      <w:pPr>
        <w:pStyle w:val="Heading2"/>
      </w:pPr>
      <w:r>
        <w:t>4.4 model — gold data models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Column</w:t>
            </w:r>
          </w:p>
        </w:tc>
        <w:tc>
          <w:tcPr>
            <w:tcW w:type="dxa" w:w="4320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4320"/>
          </w:tcPr>
          <w:p>
            <w:r>
              <w:t>model_id (PK)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t>model_name</w:t>
            </w:r>
          </w:p>
        </w:tc>
        <w:tc>
          <w:tcPr>
            <w:tcW w:type="dxa" w:w="4320"/>
          </w:tcPr>
          <w:p>
            <w:r>
              <w:t>e.g. sales_star</w:t>
            </w:r>
          </w:p>
        </w:tc>
      </w:tr>
      <w:tr>
        <w:tc>
          <w:tcPr>
            <w:tcW w:type="dxa" w:w="4320"/>
          </w:tcPr>
          <w:p>
            <w:r>
              <w:t>load_group</w:t>
            </w:r>
          </w:p>
        </w:tc>
        <w:tc>
          <w:tcPr>
            <w:tcW w:type="dxa" w:w="4320"/>
          </w:tcPr>
          <w:p>
            <w:r>
              <w:t>gold-phase load group</w:t>
            </w:r>
          </w:p>
        </w:tc>
      </w:tr>
      <w:tr>
        <w:tc>
          <w:tcPr>
            <w:tcW w:type="dxa" w:w="4320"/>
          </w:tcPr>
          <w:p>
            <w:r>
              <w:t>is_active</w:t>
            </w:r>
          </w:p>
        </w:tc>
        <w:tc>
          <w:tcPr>
            <w:tcW w:type="dxa" w:w="4320"/>
          </w:tcPr>
          <w:p>
            <w:r>
              <w:t>BIT</w:t>
            </w:r>
          </w:p>
        </w:tc>
      </w:tr>
    </w:tbl>
    <w:p/>
    <w:p>
      <w:pPr>
        <w:pStyle w:val="Heading2"/>
      </w:pPr>
      <w:r>
        <w:t>4.5 gold_object — gold tables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Column</w:t>
            </w:r>
          </w:p>
        </w:tc>
        <w:tc>
          <w:tcPr>
            <w:tcW w:type="dxa" w:w="4320"/>
          </w:tcPr>
          <w:p>
            <w:r>
              <w:rPr>
                <w:b/>
              </w:rPr>
              <w:t>Notes / allowed values</w:t>
            </w:r>
          </w:p>
        </w:tc>
      </w:tr>
      <w:tr>
        <w:tc>
          <w:tcPr>
            <w:tcW w:type="dxa" w:w="4320"/>
          </w:tcPr>
          <w:p>
            <w:r>
              <w:t>gold_object_id (PK)</w:t>
            </w:r>
          </w:p>
        </w:tc>
        <w:tc>
          <w:tcPr>
            <w:tcW w:type="dxa" w:w="4320"/>
          </w:tcPr>
          <w:p>
            <w:r>
              <w:t>e.g. dim_customer</w:t>
            </w:r>
          </w:p>
        </w:tc>
      </w:tr>
      <w:tr>
        <w:tc>
          <w:tcPr>
            <w:tcW w:type="dxa" w:w="4320"/>
          </w:tcPr>
          <w:p>
            <w:r>
              <w:t>model_id (FK)</w:t>
            </w:r>
          </w:p>
        </w:tc>
        <w:tc>
          <w:tcPr>
            <w:tcW w:type="dxa" w:w="4320"/>
          </w:tcPr>
          <w:p>
            <w:r>
              <w:t>→ model</w:t>
            </w:r>
          </w:p>
        </w:tc>
      </w:tr>
      <w:tr>
        <w:tc>
          <w:tcPr>
            <w:tcW w:type="dxa" w:w="4320"/>
          </w:tcPr>
          <w:p>
            <w:r>
              <w:t>gold_type</w:t>
            </w:r>
          </w:p>
        </w:tc>
        <w:tc>
          <w:tcPr>
            <w:tcW w:type="dxa" w:w="4320"/>
          </w:tcPr>
          <w:p>
            <w:r>
              <w:t>scd1 (upsert by key) · scd2 (history: _is_current, _effective_start/end_ts, _row_hash) · fact (upsert by key)</w:t>
            </w:r>
          </w:p>
        </w:tc>
      </w:tr>
      <w:tr>
        <w:tc>
          <w:tcPr>
            <w:tcW w:type="dxa" w:w="4320"/>
          </w:tcPr>
          <w:p>
            <w:r>
              <w:t>stage_table</w:t>
            </w:r>
          </w:p>
        </w:tc>
        <w:tc>
          <w:tcPr>
            <w:tcW w:type="dxa" w:w="4320"/>
          </w:tcPr>
          <w:p>
            <w:r>
              <w:t>staging table name (stage_* in gold)</w:t>
            </w:r>
          </w:p>
        </w:tc>
      </w:tr>
      <w:tr>
        <w:tc>
          <w:tcPr>
            <w:tcW w:type="dxa" w:w="4320"/>
          </w:tcPr>
          <w:p>
            <w:r>
              <w:t>gold_table</w:t>
            </w:r>
          </w:p>
        </w:tc>
        <w:tc>
          <w:tcPr>
            <w:tcW w:type="dxa" w:w="4320"/>
          </w:tcPr>
          <w:p>
            <w:r>
              <w:t>final gold table name</w:t>
            </w:r>
          </w:p>
        </w:tc>
      </w:tr>
      <w:tr>
        <w:tc>
          <w:tcPr>
            <w:tcW w:type="dxa" w:w="4320"/>
          </w:tcPr>
          <w:p>
            <w:r>
              <w:t>business_key_columns_json</w:t>
            </w:r>
          </w:p>
        </w:tc>
        <w:tc>
          <w:tcPr>
            <w:tcW w:type="dxa" w:w="4320"/>
          </w:tcPr>
          <w:p>
            <w:r>
              <w:t>key(s), snake_case, e.g. ["product_key"]</w:t>
            </w:r>
          </w:p>
        </w:tc>
      </w:tr>
      <w:tr>
        <w:tc>
          <w:tcPr>
            <w:tcW w:type="dxa" w:w="4320"/>
          </w:tcPr>
          <w:p>
            <w:r>
              <w:t>source_query_notebook</w:t>
            </w:r>
          </w:p>
        </w:tc>
        <w:tc>
          <w:tcPr>
            <w:tcW w:type="dxa" w:w="4320"/>
          </w:tcPr>
          <w:p>
            <w:r>
              <w:t>the sq_* notebook that builds this object's stage</w:t>
            </w:r>
          </w:p>
        </w:tc>
      </w:tr>
      <w:tr>
        <w:tc>
          <w:tcPr>
            <w:tcW w:type="dxa" w:w="4320"/>
          </w:tcPr>
          <w:p>
            <w:r>
              <w:t>is_active</w:t>
            </w:r>
          </w:p>
        </w:tc>
        <w:tc>
          <w:tcPr>
            <w:tcW w:type="dxa" w:w="4320"/>
          </w:tcPr>
          <w:p>
            <w:r>
              <w:t>BIT</w:t>
            </w:r>
          </w:p>
        </w:tc>
      </w:tr>
    </w:tbl>
    <w:p/>
    <w:p>
      <w:pPr>
        <w:pStyle w:val="Heading2"/>
      </w:pPr>
      <w:r>
        <w:t>4.6 gold_dependency — build order (DAG)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Column</w:t>
            </w:r>
          </w:p>
        </w:tc>
        <w:tc>
          <w:tcPr>
            <w:tcW w:type="dxa" w:w="4320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4320"/>
          </w:tcPr>
          <w:p>
            <w:r>
              <w:t>parent_gold_object_id</w:t>
            </w:r>
          </w:p>
        </w:tc>
        <w:tc>
          <w:tcPr>
            <w:tcW w:type="dxa" w:w="4320"/>
          </w:tcPr>
          <w:p>
            <w:r>
              <w:t>built first</w:t>
            </w:r>
          </w:p>
        </w:tc>
      </w:tr>
      <w:tr>
        <w:tc>
          <w:tcPr>
            <w:tcW w:type="dxa" w:w="4320"/>
          </w:tcPr>
          <w:p>
            <w:r>
              <w:t>child_gold_object_id</w:t>
            </w:r>
          </w:p>
        </w:tc>
        <w:tc>
          <w:tcPr>
            <w:tcW w:type="dxa" w:w="4320"/>
          </w:tcPr>
          <w:p>
            <w:r>
              <w:t>built after parent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6002767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60027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6. Example gold DAG (sales_star) — order gold_runner derives</w:t>
      </w:r>
    </w:p>
    <w:p>
      <w:pPr>
        <w:pStyle w:val="Heading2"/>
      </w:pPr>
      <w:r>
        <w:t>4.7 steps — orchestration steps per load group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Column</w:t>
            </w:r>
          </w:p>
        </w:tc>
        <w:tc>
          <w:tcPr>
            <w:tcW w:type="dxa" w:w="4320"/>
          </w:tcPr>
          <w:p>
            <w:r>
              <w:rPr>
                <w:b/>
              </w:rPr>
              <w:t>Notes / allowed values</w:t>
            </w:r>
          </w:p>
        </w:tc>
      </w:tr>
      <w:tr>
        <w:tc>
          <w:tcPr>
            <w:tcW w:type="dxa" w:w="4320"/>
          </w:tcPr>
          <w:p>
            <w:r>
              <w:t>load_group</w:t>
            </w:r>
          </w:p>
        </w:tc>
        <w:tc>
          <w:tcPr>
            <w:tcW w:type="dxa" w:w="4320"/>
          </w:tcPr>
          <w:p>
            <w:r>
              <w:t>INT</w:t>
            </w:r>
          </w:p>
        </w:tc>
      </w:tr>
      <w:tr>
        <w:tc>
          <w:tcPr>
            <w:tcW w:type="dxa" w:w="4320"/>
          </w:tcPr>
          <w:p>
            <w:r>
              <w:t>step_order</w:t>
            </w:r>
          </w:p>
        </w:tc>
        <w:tc>
          <w:tcPr>
            <w:tcW w:type="dxa" w:w="4320"/>
          </w:tcPr>
          <w:p>
            <w:r>
              <w:t>1..5 (execution order)</w:t>
            </w:r>
          </w:p>
        </w:tc>
      </w:tr>
      <w:tr>
        <w:tc>
          <w:tcPr>
            <w:tcW w:type="dxa" w:w="4320"/>
          </w:tcPr>
          <w:p>
            <w:r>
              <w:t>step_key</w:t>
            </w:r>
          </w:p>
        </w:tc>
        <w:tc>
          <w:tcPr>
            <w:tcW w:type="dxa" w:w="4320"/>
          </w:tcPr>
          <w:p>
            <w:r>
              <w:t>load_metadata · load_bronze · load_silver · load_gold · refresh_pbi</w:t>
            </w:r>
          </w:p>
        </w:tc>
      </w:tr>
      <w:tr>
        <w:tc>
          <w:tcPr>
            <w:tcW w:type="dxa" w:w="4320"/>
          </w:tcPr>
          <w:p>
            <w:r>
              <w:t>child_pipeline</w:t>
            </w:r>
          </w:p>
        </w:tc>
        <w:tc>
          <w:tcPr>
            <w:tcW w:type="dxa" w:w="4320"/>
          </w:tcPr>
          <w:p>
            <w:r>
              <w:t>pipeline to invoke</w:t>
            </w:r>
          </w:p>
        </w:tc>
      </w:tr>
      <w:tr>
        <w:tc>
          <w:tcPr>
            <w:tcW w:type="dxa" w:w="4320"/>
          </w:tcPr>
          <w:p>
            <w:r>
              <w:t>is_active</w:t>
            </w:r>
          </w:p>
        </w:tc>
        <w:tc>
          <w:tcPr>
            <w:tcW w:type="dxa" w:w="4320"/>
          </w:tcPr>
          <w:p>
            <w:r>
              <w:t>BIT — inactive steps are skipped</w:t>
            </w:r>
          </w:p>
        </w:tc>
      </w:tr>
    </w:tbl>
    <w:p/>
    <w:p>
      <w:pPr>
        <w:pStyle w:val="Heading2"/>
      </w:pPr>
      <w:r>
        <w:t>4.8 pbi_dataset — Power BI refresh targets (scaffold)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Column</w:t>
            </w:r>
          </w:p>
        </w:tc>
        <w:tc>
          <w:tcPr>
            <w:tcW w:type="dxa" w:w="4320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4320"/>
          </w:tcPr>
          <w:p>
            <w:r>
              <w:t>dataset_id (PK), workspace_id, dataset_name, load_group, is_active</w:t>
            </w:r>
          </w:p>
        </w:tc>
        <w:tc>
          <w:tcPr>
            <w:tcW w:type="dxa" w:w="4320"/>
          </w:tcPr>
          <w:p>
            <w:r>
              <w:t>REST refresh issued per active row</w:t>
            </w:r>
          </w:p>
        </w:tc>
      </w:tr>
    </w:tbl>
    <w:p/>
    <w:p>
      <w:pPr>
        <w:pStyle w:val="Heading2"/>
      </w:pPr>
      <w:r>
        <w:t>4.9 Ingestion connectors &amp; adding a source</w:t>
      </w:r>
    </w:p>
    <w:p>
      <w:r>
        <w:t>Bronze ingestion is connector-dispatched: each datasource declares a `connector`, and bronze_worker calls the matching function from the registry in cp_framework (INGEST_CONNECTORS). A connector fetches the raw extract; apply_select shapes the landed schema; control columns are added; the row lands in bronze. Silver is source-agnostic, so a NEW SOURCE NEEDS ONLY CONFIG — no notebook/pipeline changes. Extend with register_ingest_connector(name, fn). Credentials are never stored in config (SQL/ODBC user+password are passed at run time).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connector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Reads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Driver / setup</w:t>
            </w:r>
          </w:p>
        </w:tc>
      </w:tr>
      <w:tr>
        <w:tc>
          <w:tcPr>
            <w:tcW w:type="dxa" w:w="2880"/>
          </w:tcPr>
          <w:p>
            <w:r>
              <w:t>sqlserver</w:t>
            </w:r>
          </w:p>
        </w:tc>
        <w:tc>
          <w:tcPr>
            <w:tcW w:type="dxa" w:w="2880"/>
          </w:tcPr>
          <w:p>
            <w:r>
              <w:t>SQL Server via Spark JDBC (complex types pruned; incremental watermark)</w:t>
            </w:r>
          </w:p>
        </w:tc>
        <w:tc>
          <w:tcPr>
            <w:tcW w:type="dxa" w:w="2880"/>
          </w:tcPr>
          <w:p>
            <w:r>
              <w:t>bundled — zero setup (validated)</w:t>
            </w:r>
          </w:p>
        </w:tc>
      </w:tr>
      <w:tr>
        <w:tc>
          <w:tcPr>
            <w:tcW w:type="dxa" w:w="2880"/>
          </w:tcPr>
          <w:p>
            <w:r>
              <w:t>postgresql / mysql</w:t>
            </w:r>
          </w:p>
        </w:tc>
        <w:tc>
          <w:tcPr>
            <w:tcW w:type="dxa" w:w="2880"/>
          </w:tcPr>
          <w:p>
            <w:r>
              <w:t>that dialect via Spark JDBC (distributed)</w:t>
            </w:r>
          </w:p>
        </w:tc>
        <w:tc>
          <w:tcPr>
            <w:tcW w:type="dxa" w:w="2880"/>
          </w:tcPr>
          <w:p>
            <w:r>
              <w:t>jar bundled in the Fabric runtime — zero setup</w:t>
            </w:r>
          </w:p>
        </w:tc>
      </w:tr>
      <w:tr>
        <w:tc>
          <w:tcPr>
            <w:tcW w:type="dxa" w:w="2880"/>
          </w:tcPr>
          <w:p>
            <w:r>
              <w:t>oracle / db2</w:t>
            </w:r>
          </w:p>
        </w:tc>
        <w:tc>
          <w:tcPr>
            <w:tcW w:type="dxa" w:w="2880"/>
          </w:tcPr>
          <w:p>
            <w:r>
              <w:t>default pure-Python driver-side (oracledb thin / ibm_db), self-installing; opt-in distributed JDBC via connection_json.mode=jdbc</w:t>
            </w:r>
          </w:p>
        </w:tc>
        <w:tc>
          <w:tcPr>
            <w:tcW w:type="dxa" w:w="2880"/>
          </w:tcPr>
          <w:p>
            <w:r>
              <w:t>plug-and-play (driver pip-installs on demand — validated); JDBC mode needs the ojdbc/db2jcc jar on an Environment</w:t>
            </w:r>
          </w:p>
        </w:tc>
      </w:tr>
      <w:tr>
        <w:tc>
          <w:tcPr>
            <w:tcW w:type="dxa" w:w="2880"/>
          </w:tcPr>
          <w:p>
            <w:r>
              <w:t>jdbc</w:t>
            </w:r>
          </w:p>
        </w:tc>
        <w:tc>
          <w:tcPr>
            <w:tcW w:type="dxa" w:w="2880"/>
          </w:tcPr>
          <w:p>
            <w:r>
              <w:t>any JDBC via explicit url+driver (connection_json)</w:t>
            </w:r>
          </w:p>
        </w:tc>
        <w:tc>
          <w:tcPr>
            <w:tcW w:type="dxa" w:w="2880"/>
          </w:tcPr>
          <w:p>
            <w:r>
              <w:t>needs that driver jar on an Environment</w:t>
            </w:r>
          </w:p>
        </w:tc>
      </w:tr>
      <w:tr>
        <w:tc>
          <w:tcPr>
            <w:tcW w:type="dxa" w:w="2880"/>
          </w:tcPr>
          <w:p>
            <w:r>
              <w:t>odbc</w:t>
            </w:r>
          </w:p>
        </w:tc>
        <w:tc>
          <w:tcPr>
            <w:tcW w:type="dxa" w:w="2880"/>
          </w:tcPr>
          <w:p>
            <w:r>
              <w:t>pyodbc on the driver node (modest volumes)</w:t>
            </w:r>
          </w:p>
        </w:tc>
        <w:tc>
          <w:tcPr>
            <w:tcW w:type="dxa" w:w="2880"/>
          </w:tcPr>
          <w:p>
            <w:r>
              <w:t>needs the ODBC driver/DSN</w:t>
            </w:r>
          </w:p>
        </w:tc>
      </w:tr>
      <w:tr>
        <w:tc>
          <w:tcPr>
            <w:tcW w:type="dxa" w:w="2880"/>
          </w:tcPr>
          <w:p>
            <w:r>
              <w:t>rest_api</w:t>
            </w:r>
          </w:p>
        </w:tc>
        <w:tc>
          <w:tcPr>
            <w:tcW w:type="dxa" w:w="2880"/>
          </w:tcPr>
          <w:p>
            <w:r>
              <w:t>generic REST/JSON (url/method/params/record_path in source_options_json)</w:t>
            </w:r>
          </w:p>
        </w:tc>
        <w:tc>
          <w:tcPr>
            <w:tcW w:type="dxa" w:w="2880"/>
          </w:tcPr>
          <w:p>
            <w:r>
              <w:t>zero setup</w:t>
            </w:r>
          </w:p>
        </w:tc>
      </w:tr>
      <w:tr>
        <w:tc>
          <w:tcPr>
            <w:tcW w:type="dxa" w:w="2880"/>
          </w:tcPr>
          <w:p>
            <w:r>
              <w:t>statcan_wds</w:t>
            </w:r>
          </w:p>
        </w:tc>
        <w:tc>
          <w:tcPr>
            <w:tcW w:type="dxa" w:w="2880"/>
          </w:tcPr>
          <w:p>
            <w:r>
              <w:t>Statistics Canada WDS full-table download</w:t>
            </w:r>
          </w:p>
        </w:tc>
        <w:tc>
          <w:tcPr>
            <w:tcW w:type="dxa" w:w="2880"/>
          </w:tcPr>
          <w:p>
            <w:r>
              <w:t>zero setup (validated)</w:t>
            </w:r>
          </w:p>
        </w:tc>
      </w:tr>
    </w:tbl>
    <w:p/>
    <w:p>
      <w:r>
        <w:t>Driver availability — plug-and-play: SQL Server / Postgres / MySQL JDBC jars are already in the Fabric runtime (no setup). Oracle/DB2 have no bundled driver, so the connectors SELF-INSTALL their pure-Python driver (oracledb thin = no Oracle client; ibm_db = bundled client) on first use — still zero manual setup, reading driver-side (modest-moderate volumes). For DISTRIBUTED Spark JDBC on large Oracle/DB2 tables, set connection_json.mode=jdbc and supply the jar via a Fabric Environment: uncomment the environment block in deploy/manifest.yml and cp_bootstrap provisions+publishes it (cp_environment.py). Jars are proprietary — operator drops them in control_plane/deploy/jars/.</w:t>
      </w:r>
    </w:p>
    <w:p>
      <w:r>
        <w:t>source_options_json (per object) carries: query (explicit extract SQL); filters ({column:value} equality filters applied AT INGEST to land a subset); select (SCHEMA SELECTION — control which columns land, their order/names/types; forms: ["a","b"] | [{source,name,type}] | {columns,rename,cast}); REST url/method/record_path; StatCan table_id/language/filters.</w:t>
      </w:r>
    </w:p>
    <w:p>
      <w:r>
        <w:t>Landed-table naming: when target_name is null the bronze/silver table is derived as {source_name}_{source_schema|dbo}_{source_table}[_{suffix}] — e.g. source stats_can, schema null-&gt;dbo, table labour_force, suffix bc -&gt; stats_can_dbo_labour_force_bc.</w:t>
      </w:r>
    </w:p>
    <w:p>
      <w:r>
        <w:t>Worked example — a Statistics Canada subset, CONFIG ONLY: datasource (source_id 2, connector statcan_wds, load_group 2) + source_object (table_id 14100287, filters GEO=British Columbia / Gender=Total - Gender / Statistics=Estimate / Data type=Seasonally adjusted, key [REF_DATE,VECTOR], suffix bc, select a controlled column set with VALUE cast to double) + steps for load group 2. The full table is ~5.4M rows; the filters land only the 32,724-row BC slice as stats_can_dbo_labour_force_bc. Non-SQL-Server connectors are skipped by metadata_worker (no INFORMATION_SCHEMA).</w:t>
      </w:r>
    </w:p>
    <w:p>
      <w:pPr>
        <w:pStyle w:val="Heading1"/>
      </w:pPr>
      <w:r>
        <w:t>5. Runtime state / log tables (generated — never authored, never promoted)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Table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What it records</w:t>
            </w:r>
          </w:p>
        </w:tc>
      </w:tr>
      <w:tr>
        <w:tc>
          <w:tcPr>
            <w:tcW w:type="dxa" w:w="4320"/>
          </w:tcPr>
          <w:p>
            <w:r>
              <w:t>ingestion_run</w:t>
            </w:r>
          </w:p>
        </w:tc>
        <w:tc>
          <w:tcPr>
            <w:tcW w:type="dxa" w:w="4320"/>
          </w:tcPr>
          <w:p>
            <w:r>
              <w:t>one row per run start/finish</w:t>
            </w:r>
          </w:p>
        </w:tc>
      </w:tr>
      <w:tr>
        <w:tc>
          <w:tcPr>
            <w:tcW w:type="dxa" w:w="4320"/>
          </w:tcPr>
          <w:p>
            <w:r>
              <w:t>object_load_run</w:t>
            </w:r>
          </w:p>
        </w:tc>
        <w:tc>
          <w:tcPr>
            <w:tcW w:type="dxa" w:w="4320"/>
          </w:tcPr>
          <w:p>
            <w:r>
              <w:t>per object × layer: status + source/target/quarantine counts</w:t>
            </w:r>
          </w:p>
        </w:tc>
      </w:tr>
      <w:tr>
        <w:tc>
          <w:tcPr>
            <w:tcW w:type="dxa" w:w="4320"/>
          </w:tcPr>
          <w:p>
            <w:r>
              <w:t>watermark_state</w:t>
            </w:r>
          </w:p>
        </w:tc>
        <w:tc>
          <w:tcPr>
            <w:tcW w:type="dxa" w:w="4320"/>
          </w:tcPr>
          <w:p>
            <w:r>
              <w:t>latest watermark per object (incremental)</w:t>
            </w:r>
          </w:p>
        </w:tc>
      </w:tr>
      <w:tr>
        <w:tc>
          <w:tcPr>
            <w:tcW w:type="dxa" w:w="4320"/>
          </w:tcPr>
          <w:p>
            <w:r>
              <w:t>source_column</w:t>
            </w:r>
          </w:p>
        </w:tc>
        <w:tc>
          <w:tcPr>
            <w:tcW w:type="dxa" w:w="4320"/>
          </w:tcPr>
          <w:p>
            <w:r>
              <w:t>discovered source schema snapshot (drift baseline)</w:t>
            </w:r>
          </w:p>
        </w:tc>
      </w:tr>
      <w:tr>
        <w:tc>
          <w:tcPr>
            <w:tcW w:type="dxa" w:w="4320"/>
          </w:tcPr>
          <w:p>
            <w:r>
              <w:t>schema_drift_event</w:t>
            </w:r>
          </w:p>
        </w:tc>
        <w:tc>
          <w:tcPr>
            <w:tcW w:type="dxa" w:w="4320"/>
          </w:tcPr>
          <w:p>
            <w:r>
              <w:t>column added/removed vs previous snapshot</w:t>
            </w:r>
          </w:p>
        </w:tc>
      </w:tr>
      <w:tr>
        <w:tc>
          <w:tcPr>
            <w:tcW w:type="dxa" w:w="4320"/>
          </w:tcPr>
          <w:p>
            <w:r>
              <w:t>dq_result</w:t>
            </w:r>
          </w:p>
        </w:tc>
        <w:tc>
          <w:tcPr>
            <w:tcW w:type="dxa" w:w="4320"/>
          </w:tcPr>
          <w:p>
            <w:r>
              <w:t>per rule: passed/failed counts, PASS/FAIL</w:t>
            </w:r>
          </w:p>
        </w:tc>
      </w:tr>
      <w:tr>
        <w:tc>
          <w:tcPr>
            <w:tcW w:type="dxa" w:w="4320"/>
          </w:tcPr>
          <w:p>
            <w:r>
              <w:t>quarantine_&lt;target&gt;</w:t>
            </w:r>
          </w:p>
        </w:tc>
        <w:tc>
          <w:tcPr>
            <w:tcW w:type="dxa" w:w="4320"/>
          </w:tcPr>
          <w:p>
            <w:r>
              <w:t>(silver) rows that failed an error-severity DQ rule</w:t>
            </w:r>
          </w:p>
        </w:tc>
      </w:tr>
      <w:tr>
        <w:tc>
          <w:tcPr>
            <w:tcW w:type="dxa" w:w="4320"/>
          </w:tcPr>
          <w:p>
            <w:r>
              <w:t>pipeline_run_log</w:t>
            </w:r>
          </w:p>
        </w:tc>
        <w:tc>
          <w:tcPr>
            <w:tcW w:type="dxa" w:w="4320"/>
          </w:tcPr>
          <w:p>
            <w:r>
              <w:t>pipeline failures (pipeline, activity, error message)</w:t>
            </w:r>
          </w:p>
        </w:tc>
      </w:tr>
    </w:tbl>
    <w:p/>
    <w:p>
      <w:pPr>
        <w:pStyle w:val="Heading1"/>
      </w:pPr>
      <w:r>
        <w:t>6. Promotion &amp; environments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862286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8622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7. Config authoring &amp; promotion loop (tables are source of truth)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4186327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1863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8. Item deployment per environment</w:t>
      </w:r>
    </w:p>
    <w:p>
      <w:pPr>
        <w:pStyle w:val="ListBullet"/>
      </w:pPr>
      <w:r>
        <w:t>Items deploy per environment via the bootstrap or CI/CD; naming is &lt;workspace_base&gt;-&lt;environment&gt;.</w:t>
      </w:r>
    </w:p>
    <w:p>
      <w:pPr>
        <w:pStyle w:val="ListBullet"/>
      </w:pPr>
      <w:r>
        <w:t>Environment values come from cp_vars value sets; deploy parameters from environments/&lt;env&gt;.yml.</w:t>
      </w:r>
    </w:p>
    <w:p>
      <w:pPr>
        <w:pStyle w:val="ListBullet"/>
      </w:pPr>
      <w:r>
        <w:t>Config data promotes as YAML: cp_export_config (SQL→YAML) then cp_config (YAML→target SQL).</w:t>
      </w:r>
    </w:p>
    <w:p>
      <w:pPr>
        <w:pStyle w:val="ListBullet"/>
      </w:pPr>
      <w:r>
        <w:t>Secrets: source password passed at run time; SP client id/secret drive CI auth. Key Vault + native pipeline SQL Lookups are planned upgrades once an SP exists.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