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EA25B1" w:rsidRDefault="008C03C6" w:rsidP="00EA25B1">
          <w:pPr>
            <w:pStyle w:val="TOC1"/>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904531" w:history="1">
            <w:r w:rsidR="00EA25B1" w:rsidRPr="002944E3">
              <w:rPr>
                <w:rStyle w:val="Hyperlink"/>
                <w:noProof/>
              </w:rPr>
              <w:t>Introduzione</w:t>
            </w:r>
            <w:r w:rsidR="00EA25B1">
              <w:rPr>
                <w:noProof/>
                <w:webHidden/>
              </w:rPr>
              <w:tab/>
            </w:r>
            <w:r w:rsidR="00EA25B1">
              <w:rPr>
                <w:noProof/>
                <w:webHidden/>
              </w:rPr>
              <w:fldChar w:fldCharType="begin"/>
            </w:r>
            <w:r w:rsidR="00EA25B1">
              <w:rPr>
                <w:noProof/>
                <w:webHidden/>
              </w:rPr>
              <w:instrText xml:space="preserve"> PAGEREF _Toc466904531 \h </w:instrText>
            </w:r>
            <w:r w:rsidR="00EA25B1">
              <w:rPr>
                <w:noProof/>
                <w:webHidden/>
              </w:rPr>
            </w:r>
            <w:r w:rsidR="00EA25B1">
              <w:rPr>
                <w:noProof/>
                <w:webHidden/>
              </w:rPr>
              <w:fldChar w:fldCharType="separate"/>
            </w:r>
            <w:r w:rsidR="00EA25B1">
              <w:rPr>
                <w:noProof/>
                <w:webHidden/>
              </w:rPr>
              <w:t>3</w:t>
            </w:r>
            <w:r w:rsidR="00EA25B1">
              <w:rPr>
                <w:noProof/>
                <w:webHidden/>
              </w:rPr>
              <w:fldChar w:fldCharType="end"/>
            </w:r>
          </w:hyperlink>
        </w:p>
        <w:p w:rsidR="00EA25B1" w:rsidRDefault="00420006" w:rsidP="00EA25B1">
          <w:pPr>
            <w:pStyle w:val="TOC1"/>
            <w:rPr>
              <w:rFonts w:asciiTheme="minorHAnsi" w:hAnsiTheme="minorHAnsi"/>
              <w:noProof/>
              <w:sz w:val="22"/>
            </w:rPr>
          </w:pPr>
          <w:hyperlink w:anchor="_Toc466904532" w:history="1">
            <w:r w:rsidR="00EA25B1" w:rsidRPr="002944E3">
              <w:rPr>
                <w:rStyle w:val="Hyperlink"/>
                <w:noProof/>
              </w:rPr>
              <w:t>1 MyData, Big Data</w:t>
            </w:r>
            <w:r w:rsidR="00EA25B1">
              <w:rPr>
                <w:noProof/>
                <w:webHidden/>
              </w:rPr>
              <w:tab/>
            </w:r>
            <w:r w:rsidR="00EA25B1">
              <w:rPr>
                <w:noProof/>
                <w:webHidden/>
              </w:rPr>
              <w:fldChar w:fldCharType="begin"/>
            </w:r>
            <w:r w:rsidR="00EA25B1">
              <w:rPr>
                <w:noProof/>
                <w:webHidden/>
              </w:rPr>
              <w:instrText xml:space="preserve"> PAGEREF _Toc466904532 \h </w:instrText>
            </w:r>
            <w:r w:rsidR="00EA25B1">
              <w:rPr>
                <w:noProof/>
                <w:webHidden/>
              </w:rPr>
            </w:r>
            <w:r w:rsidR="00EA25B1">
              <w:rPr>
                <w:noProof/>
                <w:webHidden/>
              </w:rPr>
              <w:fldChar w:fldCharType="separate"/>
            </w:r>
            <w:r w:rsidR="00EA25B1">
              <w:rPr>
                <w:noProof/>
                <w:webHidden/>
              </w:rPr>
              <w:t>4</w:t>
            </w:r>
            <w:r w:rsidR="00EA25B1">
              <w:rPr>
                <w:noProof/>
                <w:webHidden/>
              </w:rPr>
              <w:fldChar w:fldCharType="end"/>
            </w:r>
          </w:hyperlink>
        </w:p>
        <w:p w:rsidR="00EA25B1" w:rsidRDefault="00420006" w:rsidP="00EA25B1">
          <w:pPr>
            <w:pStyle w:val="TOC1"/>
            <w:rPr>
              <w:rFonts w:asciiTheme="minorHAnsi" w:hAnsiTheme="minorHAnsi"/>
              <w:noProof/>
              <w:sz w:val="22"/>
            </w:rPr>
          </w:pPr>
          <w:hyperlink w:anchor="_Toc466904533" w:history="1">
            <w:r w:rsidR="00EA25B1" w:rsidRPr="002944E3">
              <w:rPr>
                <w:rStyle w:val="Hyperlink"/>
                <w:noProof/>
                <w:lang w:val="en-GB"/>
              </w:rPr>
              <w:t>2 Smart Mobility</w:t>
            </w:r>
            <w:r w:rsidR="00EA25B1">
              <w:rPr>
                <w:noProof/>
                <w:webHidden/>
              </w:rPr>
              <w:tab/>
            </w:r>
            <w:r w:rsidR="00EA25B1">
              <w:rPr>
                <w:noProof/>
                <w:webHidden/>
              </w:rPr>
              <w:fldChar w:fldCharType="begin"/>
            </w:r>
            <w:r w:rsidR="00EA25B1">
              <w:rPr>
                <w:noProof/>
                <w:webHidden/>
              </w:rPr>
              <w:instrText xml:space="preserve"> PAGEREF _Toc466904533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420006">
          <w:pPr>
            <w:pStyle w:val="TOC2"/>
            <w:rPr>
              <w:rFonts w:asciiTheme="minorHAnsi" w:hAnsiTheme="minorHAnsi"/>
              <w:noProof/>
              <w:sz w:val="22"/>
            </w:rPr>
          </w:pPr>
          <w:hyperlink w:anchor="_Toc466904534" w:history="1">
            <w:r w:rsidR="00EA25B1" w:rsidRPr="002944E3">
              <w:rPr>
                <w:rStyle w:val="Hyperlink"/>
                <w:noProof/>
                <w:lang w:val="en-GB"/>
              </w:rPr>
              <w:t>2.1 Mobility as a Service</w:t>
            </w:r>
            <w:r w:rsidR="00EA25B1">
              <w:rPr>
                <w:noProof/>
                <w:webHidden/>
              </w:rPr>
              <w:tab/>
            </w:r>
            <w:r w:rsidR="00EA25B1">
              <w:rPr>
                <w:noProof/>
                <w:webHidden/>
              </w:rPr>
              <w:fldChar w:fldCharType="begin"/>
            </w:r>
            <w:r w:rsidR="00EA25B1">
              <w:rPr>
                <w:noProof/>
                <w:webHidden/>
              </w:rPr>
              <w:instrText xml:space="preserve"> PAGEREF _Toc466904534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420006" w:rsidP="00EA25B1">
          <w:pPr>
            <w:pStyle w:val="TOC3"/>
            <w:rPr>
              <w:rFonts w:asciiTheme="minorHAnsi" w:hAnsiTheme="minorHAnsi"/>
              <w:noProof/>
              <w:sz w:val="22"/>
            </w:rPr>
          </w:pPr>
          <w:hyperlink w:anchor="_Toc466904535" w:history="1">
            <w:r w:rsidR="00EA25B1" w:rsidRPr="002944E3">
              <w:rPr>
                <w:rStyle w:val="Hyperlink"/>
                <w:noProof/>
              </w:rPr>
              <w:t>2.1.1 Mobility Profile e Journey Planner</w:t>
            </w:r>
            <w:r w:rsidR="00EA25B1">
              <w:rPr>
                <w:noProof/>
                <w:webHidden/>
              </w:rPr>
              <w:tab/>
            </w:r>
            <w:r w:rsidR="00EA25B1">
              <w:rPr>
                <w:noProof/>
                <w:webHidden/>
              </w:rPr>
              <w:fldChar w:fldCharType="begin"/>
            </w:r>
            <w:r w:rsidR="00EA25B1">
              <w:rPr>
                <w:noProof/>
                <w:webHidden/>
              </w:rPr>
              <w:instrText xml:space="preserve"> PAGEREF _Toc466904535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420006">
          <w:pPr>
            <w:pStyle w:val="TOC2"/>
            <w:rPr>
              <w:rFonts w:asciiTheme="minorHAnsi" w:hAnsiTheme="minorHAnsi"/>
              <w:noProof/>
              <w:sz w:val="22"/>
            </w:rPr>
          </w:pPr>
          <w:hyperlink w:anchor="_Toc466904536" w:history="1">
            <w:r w:rsidR="00EA25B1" w:rsidRPr="002944E3">
              <w:rPr>
                <w:rStyle w:val="Hyperlink"/>
                <w:noProof/>
              </w:rPr>
              <w:t>2.2 Smart Mobility for All</w:t>
            </w:r>
            <w:r w:rsidR="00EA25B1">
              <w:rPr>
                <w:noProof/>
                <w:webHidden/>
              </w:rPr>
              <w:tab/>
            </w:r>
            <w:r w:rsidR="00EA25B1">
              <w:rPr>
                <w:noProof/>
                <w:webHidden/>
              </w:rPr>
              <w:fldChar w:fldCharType="begin"/>
            </w:r>
            <w:r w:rsidR="00EA25B1">
              <w:rPr>
                <w:noProof/>
                <w:webHidden/>
              </w:rPr>
              <w:instrText xml:space="preserve"> PAGEREF _Toc466904536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420006" w:rsidP="00EA25B1">
          <w:pPr>
            <w:pStyle w:val="TOC1"/>
            <w:rPr>
              <w:rFonts w:asciiTheme="minorHAnsi" w:hAnsiTheme="minorHAnsi"/>
              <w:noProof/>
              <w:sz w:val="22"/>
            </w:rPr>
          </w:pPr>
          <w:hyperlink w:anchor="_Toc466904537" w:history="1">
            <w:r w:rsidR="00EA25B1" w:rsidRPr="002944E3">
              <w:rPr>
                <w:rStyle w:val="Hyperlink"/>
                <w:noProof/>
              </w:rPr>
              <w:t>2 ½ GDPR??</w:t>
            </w:r>
            <w:r w:rsidR="00EA25B1">
              <w:rPr>
                <w:noProof/>
                <w:webHidden/>
              </w:rPr>
              <w:tab/>
            </w:r>
            <w:r w:rsidR="00EA25B1">
              <w:rPr>
                <w:noProof/>
                <w:webHidden/>
              </w:rPr>
              <w:fldChar w:fldCharType="begin"/>
            </w:r>
            <w:r w:rsidR="00EA25B1">
              <w:rPr>
                <w:noProof/>
                <w:webHidden/>
              </w:rPr>
              <w:instrText xml:space="preserve"> PAGEREF _Toc466904537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420006" w:rsidP="00EA25B1">
          <w:pPr>
            <w:pStyle w:val="TOC1"/>
            <w:rPr>
              <w:rFonts w:asciiTheme="minorHAnsi" w:hAnsiTheme="minorHAnsi"/>
              <w:noProof/>
              <w:sz w:val="22"/>
            </w:rPr>
          </w:pPr>
          <w:hyperlink w:anchor="_Toc466904538" w:history="1">
            <w:r w:rsidR="00EA25B1" w:rsidRPr="002944E3">
              <w:rPr>
                <w:rStyle w:val="Hyperlink"/>
                <w:noProof/>
              </w:rPr>
              <w:t>3 Architettura MyData</w:t>
            </w:r>
            <w:r w:rsidR="00EA25B1">
              <w:rPr>
                <w:noProof/>
                <w:webHidden/>
              </w:rPr>
              <w:tab/>
            </w:r>
            <w:r w:rsidR="00EA25B1">
              <w:rPr>
                <w:noProof/>
                <w:webHidden/>
              </w:rPr>
              <w:fldChar w:fldCharType="begin"/>
            </w:r>
            <w:r w:rsidR="00EA25B1">
              <w:rPr>
                <w:noProof/>
                <w:webHidden/>
              </w:rPr>
              <w:instrText xml:space="preserve"> PAGEREF _Toc466904538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420006">
          <w:pPr>
            <w:pStyle w:val="TOC2"/>
            <w:rPr>
              <w:rFonts w:asciiTheme="minorHAnsi" w:hAnsiTheme="minorHAnsi"/>
              <w:noProof/>
              <w:sz w:val="22"/>
            </w:rPr>
          </w:pPr>
          <w:hyperlink w:anchor="_Toc466904539" w:history="1">
            <w:r w:rsidR="00EA25B1" w:rsidRPr="002944E3">
              <w:rPr>
                <w:rStyle w:val="Hyperlink"/>
                <w:noProof/>
              </w:rPr>
              <w:t>3.1 Entità fondamentali</w:t>
            </w:r>
            <w:r w:rsidR="00EA25B1">
              <w:rPr>
                <w:noProof/>
                <w:webHidden/>
              </w:rPr>
              <w:tab/>
            </w:r>
            <w:r w:rsidR="00EA25B1">
              <w:rPr>
                <w:noProof/>
                <w:webHidden/>
              </w:rPr>
              <w:fldChar w:fldCharType="begin"/>
            </w:r>
            <w:r w:rsidR="00EA25B1">
              <w:rPr>
                <w:noProof/>
                <w:webHidden/>
              </w:rPr>
              <w:instrText xml:space="preserve"> PAGEREF _Toc466904539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420006">
          <w:pPr>
            <w:pStyle w:val="TOC2"/>
            <w:rPr>
              <w:rFonts w:asciiTheme="minorHAnsi" w:hAnsiTheme="minorHAnsi"/>
              <w:noProof/>
              <w:sz w:val="22"/>
            </w:rPr>
          </w:pPr>
          <w:hyperlink w:anchor="_Toc466904540" w:history="1">
            <w:r w:rsidR="00EA25B1" w:rsidRPr="002944E3">
              <w:rPr>
                <w:rStyle w:val="Hyperlink"/>
                <w:noProof/>
              </w:rPr>
              <w:t>3.2 Service Registry, Service Linking</w:t>
            </w:r>
            <w:r w:rsidR="00EA25B1">
              <w:rPr>
                <w:noProof/>
                <w:webHidden/>
              </w:rPr>
              <w:tab/>
            </w:r>
            <w:r w:rsidR="00EA25B1">
              <w:rPr>
                <w:noProof/>
                <w:webHidden/>
              </w:rPr>
              <w:fldChar w:fldCharType="begin"/>
            </w:r>
            <w:r w:rsidR="00EA25B1">
              <w:rPr>
                <w:noProof/>
                <w:webHidden/>
              </w:rPr>
              <w:instrText xml:space="preserve"> PAGEREF _Toc466904540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420006" w:rsidP="00EA25B1">
          <w:pPr>
            <w:pStyle w:val="TOC3"/>
            <w:rPr>
              <w:rFonts w:asciiTheme="minorHAnsi" w:hAnsiTheme="minorHAnsi"/>
              <w:noProof/>
              <w:sz w:val="22"/>
            </w:rPr>
          </w:pPr>
          <w:hyperlink w:anchor="_Toc466904541" w:history="1">
            <w:r w:rsidR="00EA25B1" w:rsidRPr="002944E3">
              <w:rPr>
                <w:rStyle w:val="Hyperlink"/>
                <w:noProof/>
                <w:lang w:val="en-GB"/>
              </w:rPr>
              <w:t>3.2.1 OAuth 2.0</w:t>
            </w:r>
            <w:r w:rsidR="00EA25B1">
              <w:rPr>
                <w:noProof/>
                <w:webHidden/>
              </w:rPr>
              <w:tab/>
            </w:r>
            <w:r w:rsidR="00EA25B1">
              <w:rPr>
                <w:noProof/>
                <w:webHidden/>
              </w:rPr>
              <w:fldChar w:fldCharType="begin"/>
            </w:r>
            <w:r w:rsidR="00EA25B1">
              <w:rPr>
                <w:noProof/>
                <w:webHidden/>
              </w:rPr>
              <w:instrText xml:space="preserve"> PAGEREF _Toc466904541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420006">
          <w:pPr>
            <w:pStyle w:val="TOC2"/>
            <w:rPr>
              <w:rFonts w:asciiTheme="minorHAnsi" w:hAnsiTheme="minorHAnsi"/>
              <w:noProof/>
              <w:sz w:val="22"/>
            </w:rPr>
          </w:pPr>
          <w:hyperlink w:anchor="_Toc466904542" w:history="1">
            <w:r w:rsidR="00EA25B1" w:rsidRPr="002944E3">
              <w:rPr>
                <w:rStyle w:val="Hyperlink"/>
                <w:noProof/>
              </w:rPr>
              <w:t>3.3 Autorizzazioni e Consent</w:t>
            </w:r>
            <w:r w:rsidR="00EA25B1">
              <w:rPr>
                <w:noProof/>
                <w:webHidden/>
              </w:rPr>
              <w:tab/>
            </w:r>
            <w:r w:rsidR="00EA25B1">
              <w:rPr>
                <w:noProof/>
                <w:webHidden/>
              </w:rPr>
              <w:fldChar w:fldCharType="begin"/>
            </w:r>
            <w:r w:rsidR="00EA25B1">
              <w:rPr>
                <w:noProof/>
                <w:webHidden/>
              </w:rPr>
              <w:instrText xml:space="preserve"> PAGEREF _Toc466904542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420006" w:rsidP="00EA25B1">
          <w:pPr>
            <w:pStyle w:val="TOC3"/>
            <w:rPr>
              <w:rFonts w:asciiTheme="minorHAnsi" w:hAnsiTheme="minorHAnsi"/>
              <w:noProof/>
              <w:sz w:val="22"/>
            </w:rPr>
          </w:pPr>
          <w:hyperlink w:anchor="_Toc466904543" w:history="1">
            <w:r w:rsidR="00EA25B1" w:rsidRPr="002944E3">
              <w:rPr>
                <w:rStyle w:val="Hyperlink"/>
                <w:noProof/>
                <w:lang w:val="en-GB"/>
              </w:rPr>
              <w:t>3.3.1 Kantara Consent &amp; Information Sharing Work Group</w:t>
            </w:r>
            <w:r w:rsidR="00EA25B1">
              <w:rPr>
                <w:noProof/>
                <w:webHidden/>
              </w:rPr>
              <w:tab/>
            </w:r>
            <w:r w:rsidR="00EA25B1">
              <w:rPr>
                <w:noProof/>
                <w:webHidden/>
              </w:rPr>
              <w:fldChar w:fldCharType="begin"/>
            </w:r>
            <w:r w:rsidR="00EA25B1">
              <w:rPr>
                <w:noProof/>
                <w:webHidden/>
              </w:rPr>
              <w:instrText xml:space="preserve"> PAGEREF _Toc466904543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420006" w:rsidP="00EA25B1">
          <w:pPr>
            <w:pStyle w:val="TOC3"/>
            <w:rPr>
              <w:rFonts w:asciiTheme="minorHAnsi" w:hAnsiTheme="minorHAnsi"/>
              <w:noProof/>
              <w:sz w:val="22"/>
            </w:rPr>
          </w:pPr>
          <w:hyperlink w:anchor="_Toc466904544" w:history="1">
            <w:r w:rsidR="00EA25B1" w:rsidRPr="002944E3">
              <w:rPr>
                <w:rStyle w:val="Hyperlink"/>
                <w:noProof/>
                <w:lang w:val="en-GB"/>
              </w:rPr>
              <w:t>3.3.2 User Managed Access</w:t>
            </w:r>
            <w:r w:rsidR="00EA25B1">
              <w:rPr>
                <w:noProof/>
                <w:webHidden/>
              </w:rPr>
              <w:tab/>
            </w:r>
            <w:r w:rsidR="00EA25B1">
              <w:rPr>
                <w:noProof/>
                <w:webHidden/>
              </w:rPr>
              <w:fldChar w:fldCharType="begin"/>
            </w:r>
            <w:r w:rsidR="00EA25B1">
              <w:rPr>
                <w:noProof/>
                <w:webHidden/>
              </w:rPr>
              <w:instrText xml:space="preserve"> PAGEREF _Toc466904544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420006">
          <w:pPr>
            <w:pStyle w:val="TOC2"/>
            <w:rPr>
              <w:rFonts w:asciiTheme="minorHAnsi" w:hAnsiTheme="minorHAnsi"/>
              <w:noProof/>
              <w:sz w:val="22"/>
            </w:rPr>
          </w:pPr>
          <w:hyperlink w:anchor="_Toc466904545" w:history="1">
            <w:r w:rsidR="00EA25B1" w:rsidRPr="002944E3">
              <w:rPr>
                <w:rStyle w:val="Hyperlink"/>
                <w:noProof/>
              </w:rPr>
              <w:t>3.4 Personal Data Storage</w:t>
            </w:r>
            <w:r w:rsidR="00EA25B1">
              <w:rPr>
                <w:noProof/>
                <w:webHidden/>
              </w:rPr>
              <w:tab/>
            </w:r>
            <w:r w:rsidR="00EA25B1">
              <w:rPr>
                <w:noProof/>
                <w:webHidden/>
              </w:rPr>
              <w:fldChar w:fldCharType="begin"/>
            </w:r>
            <w:r w:rsidR="00EA25B1">
              <w:rPr>
                <w:noProof/>
                <w:webHidden/>
              </w:rPr>
              <w:instrText xml:space="preserve"> PAGEREF _Toc466904545 \h </w:instrText>
            </w:r>
            <w:r w:rsidR="00EA25B1">
              <w:rPr>
                <w:noProof/>
                <w:webHidden/>
              </w:rPr>
            </w:r>
            <w:r w:rsidR="00EA25B1">
              <w:rPr>
                <w:noProof/>
                <w:webHidden/>
              </w:rPr>
              <w:fldChar w:fldCharType="separate"/>
            </w:r>
            <w:r w:rsidR="00EA25B1">
              <w:rPr>
                <w:noProof/>
                <w:webHidden/>
              </w:rPr>
              <w:t>10</w:t>
            </w:r>
            <w:r w:rsidR="00EA25B1">
              <w:rPr>
                <w:noProof/>
                <w:webHidden/>
              </w:rPr>
              <w:fldChar w:fldCharType="end"/>
            </w:r>
          </w:hyperlink>
        </w:p>
        <w:p w:rsidR="00EA25B1" w:rsidRDefault="00420006" w:rsidP="00EA25B1">
          <w:pPr>
            <w:pStyle w:val="TOC1"/>
            <w:rPr>
              <w:rFonts w:asciiTheme="minorHAnsi" w:hAnsiTheme="minorHAnsi"/>
              <w:noProof/>
              <w:sz w:val="22"/>
            </w:rPr>
          </w:pPr>
          <w:hyperlink w:anchor="_Toc466904546" w:history="1">
            <w:r w:rsidR="00EA25B1" w:rsidRPr="002944E3">
              <w:rPr>
                <w:rStyle w:val="Hyperlink"/>
                <w:noProof/>
              </w:rPr>
              <w:t>4 Analisi e Design</w:t>
            </w:r>
            <w:r w:rsidR="00EA25B1">
              <w:rPr>
                <w:noProof/>
                <w:webHidden/>
              </w:rPr>
              <w:tab/>
            </w:r>
            <w:r w:rsidR="00EA25B1">
              <w:rPr>
                <w:noProof/>
                <w:webHidden/>
              </w:rPr>
              <w:fldChar w:fldCharType="begin"/>
            </w:r>
            <w:r w:rsidR="00EA25B1">
              <w:rPr>
                <w:noProof/>
                <w:webHidden/>
              </w:rPr>
              <w:instrText xml:space="preserve"> PAGEREF _Toc466904546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420006">
          <w:pPr>
            <w:pStyle w:val="TOC2"/>
            <w:rPr>
              <w:rFonts w:asciiTheme="minorHAnsi" w:hAnsiTheme="minorHAnsi"/>
              <w:noProof/>
              <w:sz w:val="22"/>
            </w:rPr>
          </w:pPr>
          <w:hyperlink w:anchor="_Toc466904547" w:history="1">
            <w:r w:rsidR="00EA25B1" w:rsidRPr="002944E3">
              <w:rPr>
                <w:rStyle w:val="Hyperlink"/>
                <w:noProof/>
                <w:lang w:val="en-GB"/>
              </w:rPr>
              <w:t>4.1 Accounting e Servizi</w:t>
            </w:r>
            <w:r w:rsidR="00EA25B1">
              <w:rPr>
                <w:noProof/>
                <w:webHidden/>
              </w:rPr>
              <w:tab/>
            </w:r>
            <w:r w:rsidR="00EA25B1">
              <w:rPr>
                <w:noProof/>
                <w:webHidden/>
              </w:rPr>
              <w:fldChar w:fldCharType="begin"/>
            </w:r>
            <w:r w:rsidR="00EA25B1">
              <w:rPr>
                <w:noProof/>
                <w:webHidden/>
              </w:rPr>
              <w:instrText xml:space="preserve"> PAGEREF _Toc466904547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420006">
          <w:pPr>
            <w:pStyle w:val="TOC2"/>
            <w:rPr>
              <w:rFonts w:asciiTheme="minorHAnsi" w:hAnsiTheme="minorHAnsi"/>
              <w:noProof/>
              <w:sz w:val="22"/>
            </w:rPr>
          </w:pPr>
          <w:hyperlink w:anchor="_Toc466904548" w:history="1">
            <w:r w:rsidR="00EA25B1" w:rsidRPr="002944E3">
              <w:rPr>
                <w:rStyle w:val="Hyperlink"/>
                <w:noProof/>
              </w:rPr>
              <w:t>4.2 Operatore MyData</w:t>
            </w:r>
            <w:r w:rsidR="00EA25B1">
              <w:rPr>
                <w:noProof/>
                <w:webHidden/>
              </w:rPr>
              <w:tab/>
            </w:r>
            <w:r w:rsidR="00EA25B1">
              <w:rPr>
                <w:noProof/>
                <w:webHidden/>
              </w:rPr>
              <w:fldChar w:fldCharType="begin"/>
            </w:r>
            <w:r w:rsidR="00EA25B1">
              <w:rPr>
                <w:noProof/>
                <w:webHidden/>
              </w:rPr>
              <w:instrText xml:space="preserve"> PAGEREF _Toc466904548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420006">
          <w:pPr>
            <w:pStyle w:val="TOC2"/>
            <w:rPr>
              <w:rFonts w:asciiTheme="minorHAnsi" w:hAnsiTheme="minorHAnsi"/>
              <w:noProof/>
              <w:sz w:val="22"/>
            </w:rPr>
          </w:pPr>
          <w:hyperlink w:anchor="_Toc466904549" w:history="1">
            <w:r w:rsidR="00EA25B1" w:rsidRPr="002944E3">
              <w:rPr>
                <w:rStyle w:val="Hyperlink"/>
                <w:noProof/>
              </w:rPr>
              <w:t>4.3 Service Registry, Service Linking</w:t>
            </w:r>
            <w:r w:rsidR="00EA25B1">
              <w:rPr>
                <w:noProof/>
                <w:webHidden/>
              </w:rPr>
              <w:tab/>
            </w:r>
            <w:r w:rsidR="00EA25B1">
              <w:rPr>
                <w:noProof/>
                <w:webHidden/>
              </w:rPr>
              <w:fldChar w:fldCharType="begin"/>
            </w:r>
            <w:r w:rsidR="00EA25B1">
              <w:rPr>
                <w:noProof/>
                <w:webHidden/>
              </w:rPr>
              <w:instrText xml:space="preserve"> PAGEREF _Toc466904549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420006">
          <w:pPr>
            <w:pStyle w:val="TOC2"/>
            <w:rPr>
              <w:rFonts w:asciiTheme="minorHAnsi" w:hAnsiTheme="minorHAnsi"/>
              <w:noProof/>
              <w:sz w:val="22"/>
            </w:rPr>
          </w:pPr>
          <w:hyperlink w:anchor="_Toc466904550" w:history="1">
            <w:r w:rsidR="00EA25B1" w:rsidRPr="002944E3">
              <w:rPr>
                <w:rStyle w:val="Hyperlink"/>
                <w:noProof/>
              </w:rPr>
              <w:t>4.4 Conse</w:t>
            </w:r>
            <w:r w:rsidR="00EA25B1" w:rsidRPr="002944E3">
              <w:rPr>
                <w:rStyle w:val="Hyperlink"/>
                <w:noProof/>
              </w:rPr>
              <w:t>n</w:t>
            </w:r>
            <w:r w:rsidR="00EA25B1" w:rsidRPr="002944E3">
              <w:rPr>
                <w:rStyle w:val="Hyperlink"/>
                <w:noProof/>
              </w:rPr>
              <w:t>t</w:t>
            </w:r>
            <w:r w:rsidR="00EA25B1">
              <w:rPr>
                <w:noProof/>
                <w:webHidden/>
              </w:rPr>
              <w:tab/>
            </w:r>
            <w:r w:rsidR="00EA25B1">
              <w:rPr>
                <w:noProof/>
                <w:webHidden/>
              </w:rPr>
              <w:fldChar w:fldCharType="begin"/>
            </w:r>
            <w:r w:rsidR="00EA25B1">
              <w:rPr>
                <w:noProof/>
                <w:webHidden/>
              </w:rPr>
              <w:instrText xml:space="preserve"> PAGEREF _Toc466904550 \h </w:instrText>
            </w:r>
            <w:r w:rsidR="00EA25B1">
              <w:rPr>
                <w:noProof/>
                <w:webHidden/>
              </w:rPr>
            </w:r>
            <w:r w:rsidR="00EA25B1">
              <w:rPr>
                <w:noProof/>
                <w:webHidden/>
              </w:rPr>
              <w:fldChar w:fldCharType="separate"/>
            </w:r>
            <w:r w:rsidR="00EA25B1">
              <w:rPr>
                <w:noProof/>
                <w:webHidden/>
              </w:rPr>
              <w:t>13</w:t>
            </w:r>
            <w:r w:rsidR="00EA25B1">
              <w:rPr>
                <w:noProof/>
                <w:webHidden/>
              </w:rPr>
              <w:fldChar w:fldCharType="end"/>
            </w:r>
          </w:hyperlink>
        </w:p>
        <w:p w:rsidR="00EA25B1" w:rsidRDefault="00420006">
          <w:pPr>
            <w:pStyle w:val="TOC2"/>
            <w:rPr>
              <w:rFonts w:asciiTheme="minorHAnsi" w:hAnsiTheme="minorHAnsi"/>
              <w:noProof/>
              <w:sz w:val="22"/>
            </w:rPr>
          </w:pPr>
          <w:hyperlink w:anchor="_Toc466904551" w:history="1">
            <w:r w:rsidR="00EA25B1" w:rsidRPr="002944E3">
              <w:rPr>
                <w:rStyle w:val="Hyperlink"/>
                <w:noProof/>
              </w:rPr>
              <w:t>4.5 Personal Data Storage</w:t>
            </w:r>
            <w:r w:rsidR="00EA25B1">
              <w:rPr>
                <w:noProof/>
                <w:webHidden/>
              </w:rPr>
              <w:tab/>
            </w:r>
            <w:r w:rsidR="00EA25B1">
              <w:rPr>
                <w:noProof/>
                <w:webHidden/>
              </w:rPr>
              <w:fldChar w:fldCharType="begin"/>
            </w:r>
            <w:r w:rsidR="00EA25B1">
              <w:rPr>
                <w:noProof/>
                <w:webHidden/>
              </w:rPr>
              <w:instrText xml:space="preserve"> PAGEREF _Toc466904551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420006">
          <w:pPr>
            <w:pStyle w:val="TOC2"/>
            <w:rPr>
              <w:rFonts w:asciiTheme="minorHAnsi" w:hAnsiTheme="minorHAnsi"/>
              <w:noProof/>
              <w:sz w:val="22"/>
            </w:rPr>
          </w:pPr>
          <w:hyperlink w:anchor="_Toc466904552" w:history="1">
            <w:r w:rsidR="00EA25B1" w:rsidRPr="002944E3">
              <w:rPr>
                <w:rStyle w:val="Hyperlink"/>
                <w:noProof/>
              </w:rPr>
              <w:t>4.6 Rappresentazione di dati non noti a priori</w:t>
            </w:r>
            <w:r w:rsidR="00EA25B1">
              <w:rPr>
                <w:noProof/>
                <w:webHidden/>
              </w:rPr>
              <w:tab/>
            </w:r>
            <w:r w:rsidR="00EA25B1">
              <w:rPr>
                <w:noProof/>
                <w:webHidden/>
              </w:rPr>
              <w:fldChar w:fldCharType="begin"/>
            </w:r>
            <w:r w:rsidR="00EA25B1">
              <w:rPr>
                <w:noProof/>
                <w:webHidden/>
              </w:rPr>
              <w:instrText xml:space="preserve"> PAGEREF _Toc466904552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420006" w:rsidP="00EA25B1">
          <w:pPr>
            <w:pStyle w:val="TOC1"/>
            <w:rPr>
              <w:rFonts w:asciiTheme="minorHAnsi" w:hAnsiTheme="minorHAnsi"/>
              <w:noProof/>
              <w:sz w:val="22"/>
            </w:rPr>
          </w:pPr>
          <w:hyperlink w:anchor="_Toc466904553" w:history="1">
            <w:r w:rsidR="00EA25B1" w:rsidRPr="002944E3">
              <w:rPr>
                <w:rStyle w:val="Hyperlink"/>
                <w:noProof/>
              </w:rPr>
              <w:t>5 Progettazione</w:t>
            </w:r>
            <w:r w:rsidR="00EA25B1">
              <w:rPr>
                <w:noProof/>
                <w:webHidden/>
              </w:rPr>
              <w:tab/>
            </w:r>
            <w:r w:rsidR="00EA25B1">
              <w:rPr>
                <w:noProof/>
                <w:webHidden/>
              </w:rPr>
              <w:fldChar w:fldCharType="begin"/>
            </w:r>
            <w:r w:rsidR="00EA25B1">
              <w:rPr>
                <w:noProof/>
                <w:webHidden/>
              </w:rPr>
              <w:instrText xml:space="preserve"> PAGEREF _Toc466904553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420006">
          <w:pPr>
            <w:pStyle w:val="TOC2"/>
            <w:rPr>
              <w:rFonts w:asciiTheme="minorHAnsi" w:hAnsiTheme="minorHAnsi"/>
              <w:noProof/>
              <w:sz w:val="22"/>
            </w:rPr>
          </w:pPr>
          <w:hyperlink w:anchor="_Toc466904554" w:history="1">
            <w:r w:rsidR="00EA25B1" w:rsidRPr="002944E3">
              <w:rPr>
                <w:rStyle w:val="Hyperlink"/>
                <w:noProof/>
              </w:rPr>
              <w:t>5.1 Flusso del programma</w:t>
            </w:r>
            <w:r w:rsidR="00EA25B1">
              <w:rPr>
                <w:noProof/>
                <w:webHidden/>
              </w:rPr>
              <w:tab/>
            </w:r>
            <w:r w:rsidR="00EA25B1">
              <w:rPr>
                <w:noProof/>
                <w:webHidden/>
              </w:rPr>
              <w:fldChar w:fldCharType="begin"/>
            </w:r>
            <w:r w:rsidR="00EA25B1">
              <w:rPr>
                <w:noProof/>
                <w:webHidden/>
              </w:rPr>
              <w:instrText xml:space="preserve"> PAGEREF _Toc466904554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420006">
          <w:pPr>
            <w:pStyle w:val="TOC2"/>
            <w:rPr>
              <w:rFonts w:asciiTheme="minorHAnsi" w:hAnsiTheme="minorHAnsi"/>
              <w:noProof/>
              <w:sz w:val="22"/>
            </w:rPr>
          </w:pPr>
          <w:hyperlink w:anchor="_Toc466904555" w:history="1">
            <w:r w:rsidR="00EA25B1" w:rsidRPr="002944E3">
              <w:rPr>
                <w:rStyle w:val="Hyperlink"/>
                <w:noProof/>
              </w:rPr>
              <w:t>5.2 Accounting</w:t>
            </w:r>
            <w:r w:rsidR="00EA25B1">
              <w:rPr>
                <w:noProof/>
                <w:webHidden/>
              </w:rPr>
              <w:tab/>
            </w:r>
            <w:r w:rsidR="00EA25B1">
              <w:rPr>
                <w:noProof/>
                <w:webHidden/>
              </w:rPr>
              <w:fldChar w:fldCharType="begin"/>
            </w:r>
            <w:r w:rsidR="00EA25B1">
              <w:rPr>
                <w:noProof/>
                <w:webHidden/>
              </w:rPr>
              <w:instrText xml:space="preserve"> PAGEREF _Toc466904555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420006" w:rsidP="00EA25B1">
          <w:pPr>
            <w:pStyle w:val="TOC3"/>
            <w:rPr>
              <w:rFonts w:asciiTheme="minorHAnsi" w:hAnsiTheme="minorHAnsi"/>
              <w:noProof/>
              <w:sz w:val="22"/>
            </w:rPr>
          </w:pPr>
          <w:hyperlink w:anchor="_Toc466904556" w:history="1">
            <w:r w:rsidR="00EA25B1" w:rsidRPr="002944E3">
              <w:rPr>
                <w:rStyle w:val="Hyperlink"/>
                <w:noProof/>
              </w:rPr>
              <w:t>5.2.1 IUser, MyDataUser</w:t>
            </w:r>
            <w:r w:rsidR="00EA25B1">
              <w:rPr>
                <w:noProof/>
                <w:webHidden/>
              </w:rPr>
              <w:tab/>
            </w:r>
            <w:r w:rsidR="00EA25B1">
              <w:rPr>
                <w:noProof/>
                <w:webHidden/>
              </w:rPr>
              <w:fldChar w:fldCharType="begin"/>
            </w:r>
            <w:r w:rsidR="00EA25B1">
              <w:rPr>
                <w:noProof/>
                <w:webHidden/>
              </w:rPr>
              <w:instrText xml:space="preserve"> PAGEREF _Toc466904556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420006" w:rsidP="00EA25B1">
          <w:pPr>
            <w:pStyle w:val="TOC3"/>
            <w:rPr>
              <w:rFonts w:asciiTheme="minorHAnsi" w:hAnsiTheme="minorHAnsi"/>
              <w:noProof/>
              <w:sz w:val="22"/>
            </w:rPr>
          </w:pPr>
          <w:hyperlink w:anchor="_Toc466904557" w:history="1">
            <w:r w:rsidR="00EA25B1" w:rsidRPr="002944E3">
              <w:rPr>
                <w:rStyle w:val="Hyperlink"/>
                <w:noProof/>
              </w:rPr>
              <w:t>5.2.2 IAccount, Account</w:t>
            </w:r>
            <w:r w:rsidR="00EA25B1">
              <w:rPr>
                <w:noProof/>
                <w:webHidden/>
              </w:rPr>
              <w:tab/>
            </w:r>
            <w:r w:rsidR="00EA25B1">
              <w:rPr>
                <w:noProof/>
                <w:webHidden/>
              </w:rPr>
              <w:fldChar w:fldCharType="begin"/>
            </w:r>
            <w:r w:rsidR="00EA25B1">
              <w:rPr>
                <w:noProof/>
                <w:webHidden/>
              </w:rPr>
              <w:instrText xml:space="preserve"> PAGEREF _Toc466904557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420006">
          <w:pPr>
            <w:pStyle w:val="TOC2"/>
            <w:rPr>
              <w:rFonts w:asciiTheme="minorHAnsi" w:hAnsiTheme="minorHAnsi"/>
              <w:noProof/>
              <w:sz w:val="22"/>
            </w:rPr>
          </w:pPr>
          <w:hyperlink w:anchor="_Toc466904558" w:history="1">
            <w:r w:rsidR="00EA25B1" w:rsidRPr="002944E3">
              <w:rPr>
                <w:rStyle w:val="Hyperlink"/>
                <w:noProof/>
              </w:rPr>
              <w:t>5.3 SecurityManager</w:t>
            </w:r>
            <w:r w:rsidR="00EA25B1">
              <w:rPr>
                <w:noProof/>
                <w:webHidden/>
              </w:rPr>
              <w:tab/>
            </w:r>
            <w:r w:rsidR="00EA25B1">
              <w:rPr>
                <w:noProof/>
                <w:webHidden/>
              </w:rPr>
              <w:fldChar w:fldCharType="begin"/>
            </w:r>
            <w:r w:rsidR="00EA25B1">
              <w:rPr>
                <w:noProof/>
                <w:webHidden/>
              </w:rPr>
              <w:instrText xml:space="preserve"> PAGEREF _Toc466904558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420006">
          <w:pPr>
            <w:pStyle w:val="TOC2"/>
            <w:rPr>
              <w:rFonts w:asciiTheme="minorHAnsi" w:hAnsiTheme="minorHAnsi"/>
              <w:noProof/>
              <w:sz w:val="22"/>
            </w:rPr>
          </w:pPr>
          <w:hyperlink w:anchor="_Toc466904559" w:history="1">
            <w:r w:rsidR="00EA25B1" w:rsidRPr="002944E3">
              <w:rPr>
                <w:rStyle w:val="Hyperlink"/>
                <w:noProof/>
              </w:rPr>
              <w:t>5.4 IMyData, MyData</w:t>
            </w:r>
            <w:r w:rsidR="00EA25B1">
              <w:rPr>
                <w:noProof/>
                <w:webHidden/>
              </w:rPr>
              <w:tab/>
            </w:r>
            <w:r w:rsidR="00EA25B1">
              <w:rPr>
                <w:noProof/>
                <w:webHidden/>
              </w:rPr>
              <w:fldChar w:fldCharType="begin"/>
            </w:r>
            <w:r w:rsidR="00EA25B1">
              <w:rPr>
                <w:noProof/>
                <w:webHidden/>
              </w:rPr>
              <w:instrText xml:space="preserve"> PAGEREF _Toc466904559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420006">
          <w:pPr>
            <w:pStyle w:val="TOC2"/>
            <w:rPr>
              <w:rFonts w:asciiTheme="minorHAnsi" w:hAnsiTheme="minorHAnsi"/>
              <w:noProof/>
              <w:sz w:val="22"/>
            </w:rPr>
          </w:pPr>
          <w:hyperlink w:anchor="_Toc466904560" w:history="1">
            <w:r w:rsidR="00EA25B1" w:rsidRPr="002944E3">
              <w:rPr>
                <w:rStyle w:val="Hyperlink"/>
                <w:noProof/>
              </w:rPr>
              <w:t>5.6 Autorizzazioni e Consent</w:t>
            </w:r>
            <w:r w:rsidR="00EA25B1">
              <w:rPr>
                <w:noProof/>
                <w:webHidden/>
              </w:rPr>
              <w:tab/>
            </w:r>
            <w:r w:rsidR="00EA25B1">
              <w:rPr>
                <w:noProof/>
                <w:webHidden/>
              </w:rPr>
              <w:fldChar w:fldCharType="begin"/>
            </w:r>
            <w:r w:rsidR="00EA25B1">
              <w:rPr>
                <w:noProof/>
                <w:webHidden/>
              </w:rPr>
              <w:instrText xml:space="preserve"> PAGEREF _Toc466904560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420006" w:rsidP="00EA25B1">
          <w:pPr>
            <w:pStyle w:val="TOC3"/>
            <w:rPr>
              <w:rFonts w:asciiTheme="minorHAnsi" w:hAnsiTheme="minorHAnsi"/>
              <w:noProof/>
              <w:sz w:val="22"/>
            </w:rPr>
          </w:pPr>
          <w:hyperlink w:anchor="_Toc466904561" w:history="1">
            <w:r w:rsidR="00EA25B1" w:rsidRPr="002944E3">
              <w:rPr>
                <w:rStyle w:val="Hyperlink"/>
                <w:noProof/>
              </w:rPr>
              <w:t>5.6.1 ConsentManager, ConsentStatus</w:t>
            </w:r>
            <w:r w:rsidR="00EA25B1">
              <w:rPr>
                <w:noProof/>
                <w:webHidden/>
              </w:rPr>
              <w:tab/>
            </w:r>
            <w:r w:rsidR="00EA25B1">
              <w:rPr>
                <w:noProof/>
                <w:webHidden/>
              </w:rPr>
              <w:fldChar w:fldCharType="begin"/>
            </w:r>
            <w:r w:rsidR="00EA25B1">
              <w:rPr>
                <w:noProof/>
                <w:webHidden/>
              </w:rPr>
              <w:instrText xml:space="preserve"> PAGEREF _Toc466904561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420006" w:rsidP="00EA25B1">
          <w:pPr>
            <w:pStyle w:val="TOC3"/>
            <w:rPr>
              <w:rFonts w:asciiTheme="minorHAnsi" w:hAnsiTheme="minorHAnsi"/>
              <w:noProof/>
              <w:sz w:val="22"/>
            </w:rPr>
          </w:pPr>
          <w:hyperlink w:anchor="_Toc466904562" w:history="1">
            <w:r w:rsidR="00EA25B1" w:rsidRPr="002944E3">
              <w:rPr>
                <w:rStyle w:val="Hyperlink"/>
                <w:noProof/>
              </w:rPr>
              <w:t>5.6.2 ServiceConsent, DataConsent</w:t>
            </w:r>
            <w:r w:rsidR="00EA25B1">
              <w:rPr>
                <w:noProof/>
                <w:webHidden/>
              </w:rPr>
              <w:tab/>
            </w:r>
            <w:r w:rsidR="00EA25B1">
              <w:rPr>
                <w:noProof/>
                <w:webHidden/>
              </w:rPr>
              <w:fldChar w:fldCharType="begin"/>
            </w:r>
            <w:r w:rsidR="00EA25B1">
              <w:rPr>
                <w:noProof/>
                <w:webHidden/>
              </w:rPr>
              <w:instrText xml:space="preserve"> PAGEREF _Toc466904562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420006">
          <w:pPr>
            <w:pStyle w:val="TOC2"/>
            <w:rPr>
              <w:rFonts w:asciiTheme="minorHAnsi" w:hAnsiTheme="minorHAnsi"/>
              <w:noProof/>
              <w:sz w:val="22"/>
            </w:rPr>
          </w:pPr>
          <w:hyperlink w:anchor="_Toc466904563" w:history="1">
            <w:r w:rsidR="00EA25B1" w:rsidRPr="002944E3">
              <w:rPr>
                <w:rStyle w:val="Hyperlink"/>
                <w:noProof/>
              </w:rPr>
              <w:t>5.7 PersonalDataVault</w:t>
            </w:r>
            <w:r w:rsidR="00EA25B1">
              <w:rPr>
                <w:noProof/>
                <w:webHidden/>
              </w:rPr>
              <w:tab/>
            </w:r>
            <w:r w:rsidR="00EA25B1">
              <w:rPr>
                <w:noProof/>
                <w:webHidden/>
              </w:rPr>
              <w:fldChar w:fldCharType="begin"/>
            </w:r>
            <w:r w:rsidR="00EA25B1">
              <w:rPr>
                <w:noProof/>
                <w:webHidden/>
              </w:rPr>
              <w:instrText xml:space="preserve"> PAGEREF _Toc466904563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420006">
          <w:pPr>
            <w:pStyle w:val="TOC2"/>
            <w:rPr>
              <w:rFonts w:asciiTheme="minorHAnsi" w:hAnsiTheme="minorHAnsi"/>
              <w:noProof/>
              <w:sz w:val="22"/>
            </w:rPr>
          </w:pPr>
          <w:hyperlink w:anchor="_Toc466904564" w:history="1">
            <w:r w:rsidR="00EA25B1" w:rsidRPr="002944E3">
              <w:rPr>
                <w:rStyle w:val="Hyperlink"/>
                <w:noProof/>
              </w:rPr>
              <w:t>5.8 Metadata, DataSet</w:t>
            </w:r>
            <w:r w:rsidR="00EA25B1">
              <w:rPr>
                <w:noProof/>
                <w:webHidden/>
              </w:rPr>
              <w:tab/>
            </w:r>
            <w:r w:rsidR="00EA25B1">
              <w:rPr>
                <w:noProof/>
                <w:webHidden/>
              </w:rPr>
              <w:fldChar w:fldCharType="begin"/>
            </w:r>
            <w:r w:rsidR="00EA25B1">
              <w:rPr>
                <w:noProof/>
                <w:webHidden/>
              </w:rPr>
              <w:instrText xml:space="preserve"> PAGEREF _Toc466904564 \h </w:instrText>
            </w:r>
            <w:r w:rsidR="00EA25B1">
              <w:rPr>
                <w:noProof/>
                <w:webHidden/>
              </w:rPr>
            </w:r>
            <w:r w:rsidR="00EA25B1">
              <w:rPr>
                <w:noProof/>
                <w:webHidden/>
              </w:rPr>
              <w:fldChar w:fldCharType="separate"/>
            </w:r>
            <w:r w:rsidR="00EA25B1">
              <w:rPr>
                <w:noProof/>
                <w:webHidden/>
              </w:rPr>
              <w:t>21</w:t>
            </w:r>
            <w:r w:rsidR="00EA25B1">
              <w:rPr>
                <w:noProof/>
                <w:webHidden/>
              </w:rPr>
              <w:fldChar w:fldCharType="end"/>
            </w:r>
          </w:hyperlink>
        </w:p>
        <w:p w:rsidR="00EA25B1" w:rsidRDefault="00420006">
          <w:pPr>
            <w:pStyle w:val="TOC2"/>
            <w:rPr>
              <w:rFonts w:asciiTheme="minorHAnsi" w:hAnsiTheme="minorHAnsi"/>
              <w:noProof/>
              <w:sz w:val="22"/>
            </w:rPr>
          </w:pPr>
          <w:hyperlink w:anchor="_Toc466904565" w:history="1">
            <w:r w:rsidR="00EA25B1" w:rsidRPr="002944E3">
              <w:rPr>
                <w:rStyle w:val="Hyperlink"/>
                <w:noProof/>
              </w:rPr>
              <w:t>5.9 IService, AbstractService, MostLikelyNextTrip</w:t>
            </w:r>
            <w:r w:rsidR="00EA25B1">
              <w:rPr>
                <w:noProof/>
                <w:webHidden/>
              </w:rPr>
              <w:tab/>
            </w:r>
            <w:r w:rsidR="00EA25B1">
              <w:rPr>
                <w:noProof/>
                <w:webHidden/>
              </w:rPr>
              <w:fldChar w:fldCharType="begin"/>
            </w:r>
            <w:r w:rsidR="00EA25B1">
              <w:rPr>
                <w:noProof/>
                <w:webHidden/>
              </w:rPr>
              <w:instrText xml:space="preserve"> PAGEREF _Toc466904565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420006">
          <w:pPr>
            <w:pStyle w:val="TOC2"/>
            <w:rPr>
              <w:rFonts w:asciiTheme="minorHAnsi" w:hAnsiTheme="minorHAnsi"/>
              <w:noProof/>
              <w:sz w:val="22"/>
            </w:rPr>
          </w:pPr>
          <w:hyperlink w:anchor="_Toc466904566" w:history="1">
            <w:r w:rsidR="00EA25B1" w:rsidRPr="002944E3">
              <w:rPr>
                <w:rStyle w:val="Hyperlink"/>
                <w:noProof/>
              </w:rPr>
              <w:t>5.10 ServiceRegistry</w:t>
            </w:r>
            <w:r w:rsidR="00EA25B1">
              <w:rPr>
                <w:noProof/>
                <w:webHidden/>
              </w:rPr>
              <w:tab/>
            </w:r>
            <w:r w:rsidR="00EA25B1">
              <w:rPr>
                <w:noProof/>
                <w:webHidden/>
              </w:rPr>
              <w:fldChar w:fldCharType="begin"/>
            </w:r>
            <w:r w:rsidR="00EA25B1">
              <w:rPr>
                <w:noProof/>
                <w:webHidden/>
              </w:rPr>
              <w:instrText xml:space="preserve"> PAGEREF _Toc466904566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420006">
          <w:pPr>
            <w:pStyle w:val="TOC2"/>
            <w:rPr>
              <w:rFonts w:asciiTheme="minorHAnsi" w:hAnsiTheme="minorHAnsi"/>
              <w:noProof/>
              <w:sz w:val="22"/>
            </w:rPr>
          </w:pPr>
          <w:hyperlink w:anchor="_Toc466904567" w:history="1">
            <w:r w:rsidR="00EA25B1" w:rsidRPr="002944E3">
              <w:rPr>
                <w:rStyle w:val="Hyperlink"/>
                <w:noProof/>
              </w:rPr>
              <w:t>5.11 Uso delle eccezioni</w:t>
            </w:r>
            <w:r w:rsidR="00EA25B1">
              <w:rPr>
                <w:noProof/>
                <w:webHidden/>
              </w:rPr>
              <w:tab/>
            </w:r>
            <w:r w:rsidR="00EA25B1">
              <w:rPr>
                <w:noProof/>
                <w:webHidden/>
              </w:rPr>
              <w:fldChar w:fldCharType="begin"/>
            </w:r>
            <w:r w:rsidR="00EA25B1">
              <w:rPr>
                <w:noProof/>
                <w:webHidden/>
              </w:rPr>
              <w:instrText xml:space="preserve"> PAGEREF _Toc466904567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9521EC" w:rsidRPr="00417126" w:rsidRDefault="009521EC" w:rsidP="000C71B7">
      <w:pPr>
        <w:pStyle w:val="Heading1"/>
        <w:spacing w:before="120" w:after="160" w:line="360" w:lineRule="auto"/>
      </w:pPr>
      <w:bookmarkStart w:id="0" w:name="_Toc466904531"/>
      <w:r w:rsidRPr="00417126">
        <w:lastRenderedPageBreak/>
        <w:t>Introduzione</w:t>
      </w:r>
      <w:bookmarkEnd w:id="0"/>
    </w:p>
    <w:p w:rsidR="00C01233" w:rsidRPr="00417126" w:rsidRDefault="00F05EB2" w:rsidP="000C71B7">
      <w:pPr>
        <w:rPr>
          <w:rFonts w:cs="Times New Roman"/>
          <w:szCs w:val="24"/>
        </w:rPr>
      </w:pPr>
      <w:r w:rsidRPr="00417126">
        <w:rPr>
          <w:rFonts w:cs="Times New Roman"/>
          <w:szCs w:val="24"/>
        </w:rPr>
        <w:t xml:space="preserve">Negli ultimi anni, con la diffusione degli smartphone e l’aumento dell’accesso a Internet, la tecnologia </w:t>
      </w:r>
      <w:r w:rsidR="00C01233" w:rsidRPr="00417126">
        <w:rPr>
          <w:rFonts w:cs="Times New Roman"/>
          <w:szCs w:val="24"/>
        </w:rPr>
        <w:t>è diventata sempre più legata all’utente dietro lo schermo, con esempi che possono spaziare dai social network ai dispositivi di monitoraggio della salute e dell’attività fisica.</w:t>
      </w:r>
      <w:r w:rsidR="00333AEA" w:rsidRPr="00417126">
        <w:rPr>
          <w:rFonts w:cs="Times New Roman"/>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417126">
        <w:rPr>
          <w:rFonts w:cs="Times New Roman"/>
          <w:szCs w:val="24"/>
        </w:rPr>
        <w:t>ti di geolocalizzazione) e deduzioni (</w:t>
      </w:r>
      <w:proofErr w:type="spellStart"/>
      <w:r w:rsidR="00837B11" w:rsidRPr="00417126">
        <w:rPr>
          <w:rFonts w:cs="Times New Roman"/>
          <w:i/>
          <w:szCs w:val="24"/>
        </w:rPr>
        <w:t>targeted</w:t>
      </w:r>
      <w:proofErr w:type="spellEnd"/>
      <w:r w:rsidR="00837B11" w:rsidRPr="00417126">
        <w:rPr>
          <w:rFonts w:cs="Times New Roman"/>
          <w:i/>
          <w:szCs w:val="24"/>
        </w:rPr>
        <w:t xml:space="preserve"> advertising</w:t>
      </w:r>
      <w:r w:rsidR="00837B11" w:rsidRPr="00417126">
        <w:rPr>
          <w:rFonts w:cs="Times New Roman"/>
          <w:szCs w:val="24"/>
        </w:rPr>
        <w:t>, previsioni sul flusso del traffico).</w:t>
      </w:r>
    </w:p>
    <w:p w:rsidR="00F05EB2" w:rsidRPr="00417126" w:rsidRDefault="00837B11" w:rsidP="000C71B7">
      <w:pPr>
        <w:rPr>
          <w:rFonts w:cs="Times New Roman"/>
          <w:iCs/>
          <w:szCs w:val="24"/>
        </w:rPr>
      </w:pPr>
      <w:r w:rsidRPr="00417126">
        <w:rPr>
          <w:rFonts w:cs="Times New Roman"/>
          <w:szCs w:val="24"/>
        </w:rPr>
        <w:t xml:space="preserve">L’importanza dei dati personali è diventata tale da richiedere l’esistenza di leggi che ne regolamentassero l’utilizzo, come il </w:t>
      </w:r>
      <w:r w:rsidRPr="00417126">
        <w:rPr>
          <w:rFonts w:cs="Times New Roman"/>
          <w:bCs/>
          <w:szCs w:val="24"/>
        </w:rPr>
        <w:t>regolamento generale sulla protezione dei dati</w:t>
      </w:r>
      <w:r w:rsidRPr="00417126">
        <w:rPr>
          <w:rFonts w:cs="Times New Roman"/>
          <w:szCs w:val="24"/>
        </w:rPr>
        <w:t xml:space="preserve"> (GDPR, </w:t>
      </w:r>
      <w:r w:rsidRPr="00417126">
        <w:rPr>
          <w:rFonts w:cs="Times New Roman"/>
          <w:i/>
          <w:iCs/>
          <w:szCs w:val="24"/>
        </w:rPr>
        <w:t xml:space="preserve">General Data </w:t>
      </w:r>
      <w:proofErr w:type="spellStart"/>
      <w:r w:rsidRPr="00417126">
        <w:rPr>
          <w:rFonts w:cs="Times New Roman"/>
          <w:i/>
          <w:iCs/>
          <w:szCs w:val="24"/>
        </w:rPr>
        <w:t>Protection</w:t>
      </w:r>
      <w:proofErr w:type="spellEnd"/>
      <w:r w:rsidRPr="00417126">
        <w:rPr>
          <w:rFonts w:cs="Times New Roman"/>
          <w:i/>
          <w:iCs/>
          <w:szCs w:val="24"/>
        </w:rPr>
        <w:t xml:space="preserve"> </w:t>
      </w:r>
      <w:proofErr w:type="spellStart"/>
      <w:r w:rsidRPr="00417126">
        <w:rPr>
          <w:rFonts w:cs="Times New Roman"/>
          <w:i/>
          <w:iCs/>
          <w:szCs w:val="24"/>
        </w:rPr>
        <w:t>Regulation</w:t>
      </w:r>
      <w:proofErr w:type="spellEnd"/>
      <w:r w:rsidRPr="00417126">
        <w:rPr>
          <w:rFonts w:cs="Times New Roman"/>
          <w:i/>
          <w:iCs/>
          <w:szCs w:val="24"/>
        </w:rPr>
        <w:t>- Regolamento UE 2016/679)</w:t>
      </w:r>
      <w:r w:rsidRPr="00417126">
        <w:rPr>
          <w:rFonts w:cs="Times New Roman"/>
          <w:iCs/>
          <w:szCs w:val="24"/>
        </w:rPr>
        <w:t xml:space="preserve">. </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E3137A">
        <w:rPr>
          <w:rFonts w:cs="Times New Roman"/>
          <w:iCs/>
          <w:szCs w:val="24"/>
        </w:rPr>
        <w:t xml:space="preserve">si sviluppa il modello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E3137A" w:rsidRDefault="00584CF5" w:rsidP="000C71B7">
      <w:pPr>
        <w:rPr>
          <w:rFonts w:cs="Times New Roman"/>
          <w:szCs w:val="24"/>
        </w:rPr>
      </w:pPr>
      <w:r w:rsidRPr="00417126">
        <w:rPr>
          <w:rFonts w:cs="Times New Roman"/>
          <w:szCs w:val="24"/>
        </w:rPr>
        <w:t>Questa tesi si propone di studiare i concetti fon</w:t>
      </w:r>
      <w:r w:rsidR="00E3137A">
        <w:rPr>
          <w:rFonts w:cs="Times New Roman"/>
          <w:szCs w:val="24"/>
        </w:rPr>
        <w:t xml:space="preserve">damentali alla base del modello </w:t>
      </w:r>
      <w:proofErr w:type="spellStart"/>
      <w:r w:rsidRPr="00417126">
        <w:rPr>
          <w:rFonts w:cs="Times New Roman"/>
          <w:i/>
          <w:szCs w:val="24"/>
        </w:rPr>
        <w:t>MyData</w:t>
      </w:r>
      <w:proofErr w:type="spellEnd"/>
      <w:r w:rsidRPr="00417126">
        <w:rPr>
          <w:rFonts w:cs="Times New Roman"/>
          <w:szCs w:val="24"/>
        </w:rPr>
        <w:t>, e</w:t>
      </w:r>
      <w:r w:rsidR="00E3137A">
        <w:rPr>
          <w:rFonts w:cs="Times New Roman"/>
          <w:szCs w:val="24"/>
        </w:rPr>
        <w:t xml:space="preserve"> </w:t>
      </w:r>
      <w:r w:rsidRPr="00417126">
        <w:rPr>
          <w:rFonts w:cs="Times New Roman"/>
          <w:szCs w:val="24"/>
        </w:rPr>
        <w:t>implementare un prototipo di gestore di dati personali che ne rispetti le specifiche.</w:t>
      </w:r>
    </w:p>
    <w:p w:rsidR="00CC43A3" w:rsidRPr="00417126" w:rsidRDefault="00584CF5" w:rsidP="000C71B7">
      <w:pPr>
        <w:rPr>
          <w:rFonts w:cs="Times New Roman"/>
          <w:szCs w:val="24"/>
        </w:rPr>
      </w:pPr>
      <w:r w:rsidRPr="00417126">
        <w:rPr>
          <w:rFonts w:cs="Times New Roman"/>
          <w:szCs w:val="24"/>
        </w:rPr>
        <w:t xml:space="preserv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w:t>
      </w:r>
      <w:r w:rsidR="00E3137A">
        <w:rPr>
          <w:rFonts w:cs="Times New Roman"/>
          <w:szCs w:val="24"/>
        </w:rPr>
        <w:t>elle</w:t>
      </w:r>
      <w:r w:rsidRPr="00417126">
        <w:rPr>
          <w:rFonts w:cs="Times New Roman"/>
          <w:szCs w:val="24"/>
        </w:rPr>
        <w:t xml:space="preserve"> politiche di sicurezza è fondamentale</w:t>
      </w:r>
      <w:r w:rsidR="00812F33" w:rsidRPr="00417126">
        <w:rPr>
          <w:rFonts w:cs="Times New Roman"/>
          <w:szCs w:val="24"/>
        </w:rPr>
        <w:t xml:space="preserve">: anche se la </w:t>
      </w:r>
      <w:r w:rsidR="00812F33" w:rsidRPr="00417126">
        <w:rPr>
          <w:rFonts w:cs="Times New Roman"/>
          <w:szCs w:val="24"/>
        </w:rPr>
        <w:lastRenderedPageBreak/>
        <w:t>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1" w:name="_Toc466904532"/>
      <w:r w:rsidRPr="00417126">
        <w:t>1 MyData</w:t>
      </w:r>
      <w:r w:rsidR="005B00CF" w:rsidRPr="00417126">
        <w:t>, Big Data</w:t>
      </w:r>
      <w:bookmarkEnd w:id="1"/>
    </w:p>
    <w:p w:rsidR="006B5536" w:rsidRPr="00417126" w:rsidRDefault="006B5536" w:rsidP="000C71B7">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00954ECA" w:rsidRPr="00417126">
        <w:rPr>
          <w:rFonts w:cs="Times New Roman"/>
          <w:szCs w:val="24"/>
        </w:rPr>
        <w:t xml:space="preserve">, </w:t>
      </w:r>
      <w:r w:rsidR="00E3137A">
        <w:rPr>
          <w:rFonts w:cs="Times New Roman"/>
          <w:szCs w:val="24"/>
        </w:rPr>
        <w:t>partendo dal</w:t>
      </w:r>
      <w:r w:rsidR="00A3125A" w:rsidRPr="00417126">
        <w:rPr>
          <w:rFonts w:cs="Times New Roman"/>
          <w:szCs w:val="24"/>
        </w:rPr>
        <w:t>l’idea di rafforzare i diritti digitali dell’individuo. All’</w:t>
      </w:r>
      <w:r w:rsidR="00E33816" w:rsidRPr="00417126">
        <w:rPr>
          <w:rFonts w:cs="Times New Roman"/>
          <w:szCs w:val="24"/>
        </w:rPr>
        <w:t>interno del contesto</w:t>
      </w:r>
      <w:r w:rsidR="00A3125A" w:rsidRPr="00417126">
        <w:rPr>
          <w:rFonts w:cs="Times New Roman"/>
          <w:szCs w:val="24"/>
        </w:rPr>
        <w:t xml:space="preserve"> vi è anche la stringente </w:t>
      </w:r>
      <w:r w:rsidR="00E33816" w:rsidRPr="00417126">
        <w:rPr>
          <w:rFonts w:cs="Times New Roman"/>
          <w:szCs w:val="24"/>
        </w:rPr>
        <w:t>legislazione europea sulla protezione dei dati personali, e la volontà di offrire alle aziende un nuovo modo di approcciarsi al cliente, basato non su incomprensibili “Termini e Condizioni” ma sulla reciproca</w:t>
      </w:r>
      <w:r w:rsidR="00E3137A">
        <w:rPr>
          <w:rFonts w:cs="Times New Roman"/>
          <w:szCs w:val="24"/>
        </w:rPr>
        <w:t xml:space="preserve"> </w:t>
      </w:r>
      <w:r w:rsidR="00E3137A" w:rsidRPr="00417126">
        <w:rPr>
          <w:rFonts w:cs="Times New Roman"/>
          <w:szCs w:val="24"/>
        </w:rPr>
        <w:t>fiducia</w:t>
      </w:r>
      <w:r w:rsidR="00E33816" w:rsidRPr="00417126">
        <w:rPr>
          <w:rFonts w:cs="Times New Roman"/>
          <w:szCs w:val="24"/>
        </w:rPr>
        <w:t>.</w:t>
      </w:r>
    </w:p>
    <w:p w:rsidR="00E33816" w:rsidRPr="00417126" w:rsidRDefault="00502E06" w:rsidP="000C71B7">
      <w:pPr>
        <w:rPr>
          <w:rFonts w:cs="Times New Roman"/>
          <w:szCs w:val="24"/>
        </w:rPr>
      </w:pPr>
      <w:r w:rsidRPr="00417126">
        <w:rPr>
          <w:rFonts w:cs="Times New Roman"/>
          <w:szCs w:val="24"/>
        </w:rPr>
        <w:t>Attualmente, grandi quantità di dati</w:t>
      </w:r>
      <w:r w:rsidR="00E3137A">
        <w:rPr>
          <w:rFonts w:cs="Times New Roman"/>
          <w:szCs w:val="24"/>
        </w:rPr>
        <w:t xml:space="preserve"> vengono continuamente raccolti</w:t>
      </w:r>
      <w:r w:rsidRPr="00417126">
        <w:rPr>
          <w:rFonts w:cs="Times New Roman"/>
          <w:szCs w:val="24"/>
        </w:rPr>
        <w:t xml:space="preserve"> senza </w:t>
      </w:r>
      <w:r w:rsidR="00E3137A">
        <w:rPr>
          <w:rFonts w:cs="Times New Roman"/>
          <w:szCs w:val="24"/>
        </w:rPr>
        <w:t>utilizzarne</w:t>
      </w:r>
      <w:r w:rsidRPr="00417126">
        <w:rPr>
          <w:rFonts w:cs="Times New Roman"/>
          <w:szCs w:val="24"/>
        </w:rPr>
        <w:t xml:space="preserve"> pienamente la ricchezza dell’informazione.</w:t>
      </w:r>
      <w:r w:rsidR="00C53C9C" w:rsidRPr="00417126">
        <w:rPr>
          <w:rFonts w:cs="Times New Roman"/>
          <w:szCs w:val="24"/>
        </w:rPr>
        <w:t xml:space="preserve"> Il loro percorso e le operazioni di processamento a cui vengono sottoposti sono sempre più numerose e </w:t>
      </w:r>
      <w:r w:rsidR="00E3137A">
        <w:rPr>
          <w:rFonts w:cs="Times New Roman"/>
          <w:szCs w:val="24"/>
        </w:rPr>
        <w:t>cresce</w:t>
      </w:r>
      <w:r w:rsidR="00C53C9C" w:rsidRPr="00417126">
        <w:rPr>
          <w:rFonts w:cs="Times New Roman"/>
          <w:szCs w:val="24"/>
        </w:rPr>
        <w:t xml:space="preserve"> la difficoltà nel </w:t>
      </w:r>
      <w:r w:rsidR="00E3137A">
        <w:rPr>
          <w:rFonts w:cs="Times New Roman"/>
          <w:szCs w:val="24"/>
        </w:rPr>
        <w:t>conservarne</w:t>
      </w:r>
      <w:r w:rsidR="00C53C9C" w:rsidRPr="00417126">
        <w:rPr>
          <w:rFonts w:cs="Times New Roman"/>
          <w:szCs w:val="24"/>
        </w:rPr>
        <w:t xml:space="preserve"> </w:t>
      </w:r>
      <w:r w:rsidR="00E3137A">
        <w:rPr>
          <w:rFonts w:cs="Times New Roman"/>
          <w:szCs w:val="24"/>
        </w:rPr>
        <w:t>le tracce</w:t>
      </w:r>
      <w:r w:rsidR="00C53C9C" w:rsidRPr="00417126">
        <w:rPr>
          <w:rFonts w:cs="Times New Roman"/>
          <w:szCs w:val="24"/>
        </w:rPr>
        <w:t>.</w:t>
      </w:r>
      <w:r w:rsidRPr="00417126">
        <w:rPr>
          <w:rFonts w:cs="Times New Roman"/>
          <w:szCs w:val="24"/>
        </w:rPr>
        <w:t xml:space="preserve"> Inoltre, l’utilizzo di software proprietari limita l</w:t>
      </w:r>
      <w:r w:rsidR="00E3137A">
        <w:rPr>
          <w:rFonts w:cs="Times New Roman"/>
          <w:szCs w:val="24"/>
        </w:rPr>
        <w:t>a</w:t>
      </w:r>
      <w:r w:rsidRPr="00417126">
        <w:rPr>
          <w:rFonts w:cs="Times New Roman"/>
          <w:szCs w:val="24"/>
        </w:rPr>
        <w:t xml:space="preserv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w:t>
      </w:r>
      <w:r w:rsidR="00E3137A">
        <w:rPr>
          <w:rFonts w:cs="Times New Roman"/>
          <w:szCs w:val="24"/>
        </w:rPr>
        <w:t>tale</w:t>
      </w:r>
      <w:r w:rsidR="005B00CF" w:rsidRPr="00417126">
        <w:rPr>
          <w:rFonts w:cs="Times New Roman"/>
          <w:szCs w:val="24"/>
        </w:rPr>
        <w:t xml:space="preserve">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Pr="00417126" w:rsidRDefault="005B00CF" w:rsidP="000C71B7">
      <w:pPr>
        <w:rPr>
          <w:rFonts w:cs="Times New Roman"/>
          <w:szCs w:val="24"/>
        </w:rPr>
      </w:pPr>
      <w:proofErr w:type="spellStart"/>
      <w:r w:rsidRPr="00E3137A">
        <w:rPr>
          <w:rFonts w:cs="Times New Roman"/>
          <w:i/>
          <w:szCs w:val="24"/>
        </w:rPr>
        <w:t>MyData</w:t>
      </w:r>
      <w:proofErr w:type="spellEnd"/>
      <w:r w:rsidRPr="00417126">
        <w:rPr>
          <w:rFonts w:cs="Times New Roman"/>
          <w:szCs w:val="24"/>
        </w:rPr>
        <w:t xml:space="preserve"> cerca di trovare una risposta a questi temi attraverso un cambio di paradigma che ponga l’utente al centro, </w:t>
      </w:r>
      <w:r w:rsidR="00E3137A">
        <w:rPr>
          <w:rFonts w:cs="Times New Roman"/>
          <w:szCs w:val="24"/>
        </w:rPr>
        <w:t>attribuendogli la capacità</w:t>
      </w:r>
      <w:r w:rsidRPr="00417126">
        <w:rPr>
          <w:rFonts w:cs="Times New Roman"/>
          <w:szCs w:val="24"/>
        </w:rPr>
        <w:t xml:space="preserve"> di gestire i propri dati personali e </w:t>
      </w:r>
      <w:r w:rsidR="00A20C40">
        <w:rPr>
          <w:rFonts w:cs="Times New Roman"/>
          <w:szCs w:val="24"/>
        </w:rPr>
        <w:t xml:space="preserve">di comprendere </w:t>
      </w:r>
      <w:r w:rsidRPr="00417126">
        <w:rPr>
          <w:rFonts w:cs="Times New Roman"/>
          <w:szCs w:val="24"/>
        </w:rPr>
        <w:t>l’uso che ne viene fatto.</w:t>
      </w:r>
      <w:r w:rsidR="00B84F15" w:rsidRPr="00417126">
        <w:rPr>
          <w:rFonts w:cs="Times New Roman"/>
          <w:szCs w:val="24"/>
        </w:rPr>
        <w:t xml:space="preserve"> </w:t>
      </w:r>
      <w:r w:rsidR="00A20C40">
        <w:rPr>
          <w:rFonts w:cs="Times New Roman"/>
          <w:szCs w:val="24"/>
        </w:rPr>
        <w:t>Allo stesso tempo, la qualità dei</w:t>
      </w:r>
      <w:r w:rsidR="00B84F15" w:rsidRPr="00417126">
        <w:rPr>
          <w:rFonts w:cs="Times New Roman"/>
          <w:szCs w:val="24"/>
        </w:rPr>
        <w:t xml:space="preserve"> suggerimenti</w:t>
      </w:r>
      <w:r w:rsidR="00A20C40">
        <w:rPr>
          <w:rFonts w:cs="Times New Roman"/>
          <w:szCs w:val="24"/>
        </w:rPr>
        <w:t xml:space="preserve"> ricevuti</w:t>
      </w:r>
      <w:r w:rsidR="00B84F15" w:rsidRPr="00417126">
        <w:rPr>
          <w:rFonts w:cs="Times New Roman"/>
          <w:szCs w:val="24"/>
        </w:rPr>
        <w:t xml:space="preserve"> </w:t>
      </w:r>
      <w:r w:rsidR="00A20C40">
        <w:rPr>
          <w:rFonts w:cs="Times New Roman"/>
          <w:szCs w:val="24"/>
        </w:rPr>
        <w:t>in base ai dati raccolti aumenterebbe grazie alla maggior</w:t>
      </w:r>
      <w:r w:rsidR="00E3137A">
        <w:rPr>
          <w:rFonts w:cs="Times New Roman"/>
          <w:szCs w:val="24"/>
        </w:rPr>
        <w:t>e</w:t>
      </w:r>
      <w:r w:rsidR="00A20C40">
        <w:rPr>
          <w:rFonts w:cs="Times New Roman"/>
          <w:szCs w:val="24"/>
        </w:rPr>
        <w:t xml:space="preserve"> disponibilità degli stessi. L’elaborazione dei dati potrebbe </w:t>
      </w:r>
      <w:r w:rsidR="00E3137A">
        <w:rPr>
          <w:rFonts w:cs="Times New Roman"/>
          <w:szCs w:val="24"/>
        </w:rPr>
        <w:t>favorire anche</w:t>
      </w:r>
      <w:r w:rsidR="00A20C40">
        <w:rPr>
          <w:rFonts w:cs="Times New Roman"/>
          <w:szCs w:val="24"/>
        </w:rPr>
        <w:t xml:space="preserve">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w:t>
      </w:r>
      <w:r w:rsidR="00252316">
        <w:rPr>
          <w:rFonts w:cs="Times New Roman"/>
          <w:szCs w:val="24"/>
        </w:rPr>
        <w:t>anche attraverso la</w:t>
      </w:r>
      <w:r w:rsidR="005314B2">
        <w:rPr>
          <w:rFonts w:cs="Times New Roman"/>
          <w:szCs w:val="24"/>
        </w:rPr>
        <w:t xml:space="preserve">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5B00CF" w:rsidP="000C71B7">
      <w:pPr>
        <w:rPr>
          <w:rFonts w:cs="Times New Roman"/>
          <w:szCs w:val="24"/>
        </w:rPr>
      </w:pPr>
      <w:r w:rsidRPr="00417126">
        <w:rPr>
          <w:rFonts w:cs="Times New Roman"/>
          <w:szCs w:val="24"/>
        </w:rPr>
        <w:t xml:space="preserv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w:t>
      </w:r>
      <w:r w:rsidR="00252316">
        <w:rPr>
          <w:rFonts w:cs="Times New Roman"/>
          <w:szCs w:val="24"/>
        </w:rPr>
        <w:t>consentendo</w:t>
      </w:r>
      <w:r w:rsidR="00B84F15" w:rsidRPr="00417126">
        <w:rPr>
          <w:rFonts w:cs="Times New Roman"/>
          <w:szCs w:val="24"/>
        </w:rPr>
        <w:t xml:space="preserve"> alle aziende di sviluppare i software in maniera meno vincolata, acquisendo al contempo la fiducia del cliente grazie alla trasparenza e all’affidabilità garantite da </w:t>
      </w:r>
      <w:proofErr w:type="spellStart"/>
      <w:r w:rsidR="00B84F15" w:rsidRPr="00252316">
        <w:rPr>
          <w:rFonts w:cs="Times New Roman"/>
          <w:i/>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lastRenderedPageBreak/>
        <w:t xml:space="preserve">Nel complesso, il paradigma </w:t>
      </w:r>
      <w:proofErr w:type="spellStart"/>
      <w:r w:rsidRPr="00252316">
        <w:rPr>
          <w:rFonts w:cs="Times New Roman"/>
          <w:i/>
          <w:szCs w:val="24"/>
        </w:rPr>
        <w:t>MyData</w:t>
      </w:r>
      <w:proofErr w:type="spellEnd"/>
      <w:r>
        <w:rPr>
          <w:rFonts w:cs="Times New Roman"/>
          <w:szCs w:val="24"/>
        </w:rPr>
        <w:t xml:space="preserve"> si contrappone all’attuale standard, Big Data, proponendo nuove soluzioni che non </w:t>
      </w:r>
      <w:r w:rsidR="00252316">
        <w:rPr>
          <w:rFonts w:cs="Times New Roman"/>
          <w:szCs w:val="24"/>
        </w:rPr>
        <w:t>trascurino</w:t>
      </w:r>
      <w:r>
        <w:rPr>
          <w:rFonts w:cs="Times New Roman"/>
          <w:szCs w:val="24"/>
        </w:rPr>
        <w:t xml:space="preserve"> la realtà d</w:t>
      </w:r>
      <w:r w:rsidR="00252316">
        <w:rPr>
          <w:rFonts w:cs="Times New Roman"/>
          <w:szCs w:val="24"/>
        </w:rPr>
        <w:t>el</w:t>
      </w:r>
      <w:r>
        <w:rPr>
          <w:rFonts w:cs="Times New Roman"/>
          <w:szCs w:val="24"/>
        </w:rPr>
        <w:t xml:space="preserve"> mercato in cui il software viene usato.</w:t>
      </w:r>
    </w:p>
    <w:p w:rsidR="00417126" w:rsidRDefault="007605E6" w:rsidP="000C71B7">
      <w:pPr>
        <w:pStyle w:val="Heading1"/>
        <w:rPr>
          <w:lang w:val="en-GB"/>
        </w:rPr>
      </w:pPr>
      <w:r w:rsidRPr="009D7026">
        <w:rPr>
          <w:lang w:val="en-GB"/>
        </w:rPr>
        <w:br w:type="page"/>
      </w:r>
      <w:bookmarkStart w:id="2" w:name="_Toc466904533"/>
      <w:r w:rsidR="001A37BA" w:rsidRPr="00CA383D">
        <w:rPr>
          <w:lang w:val="en-GB"/>
        </w:rPr>
        <w:lastRenderedPageBreak/>
        <w:t xml:space="preserve">2 </w:t>
      </w:r>
      <w:r w:rsidR="00916656">
        <w:rPr>
          <w:lang w:val="en-GB"/>
        </w:rPr>
        <w:t>Smart Mobility</w:t>
      </w:r>
      <w:bookmarkEnd w:id="2"/>
    </w:p>
    <w:p w:rsidR="00916656" w:rsidRPr="00E30DDC" w:rsidRDefault="00916656" w:rsidP="000C71B7">
      <w:pPr>
        <w:pStyle w:val="Heading2"/>
        <w:spacing w:after="160" w:line="360" w:lineRule="auto"/>
        <w:rPr>
          <w:lang w:val="en-GB"/>
        </w:rPr>
      </w:pPr>
      <w:bookmarkStart w:id="3" w:name="_Toc466904534"/>
      <w:r w:rsidRPr="00E30DDC">
        <w:rPr>
          <w:lang w:val="en-GB"/>
        </w:rPr>
        <w:t>2.1 Mobility as a Service</w:t>
      </w:r>
      <w:bookmarkEnd w:id="3"/>
    </w:p>
    <w:p w:rsidR="00CA383D" w:rsidRPr="005219DB" w:rsidRDefault="00CA383D" w:rsidP="000C71B7">
      <w:pPr>
        <w:rPr>
          <w:rFonts w:cs="Times New Roman"/>
          <w:szCs w:val="24"/>
        </w:rPr>
      </w:pPr>
      <w:proofErr w:type="spellStart"/>
      <w:r w:rsidRPr="00252316">
        <w:rPr>
          <w:rFonts w:cs="Times New Roman"/>
          <w:i/>
          <w:szCs w:val="24"/>
        </w:rPr>
        <w:t>MyData</w:t>
      </w:r>
      <w:proofErr w:type="spellEnd"/>
      <w:r w:rsidR="00252316">
        <w:rPr>
          <w:rFonts w:cs="Times New Roman"/>
          <w:szCs w:val="24"/>
        </w:rPr>
        <w:t>, grazie al coinvolgimento del Ministero dei Trasporti,</w:t>
      </w:r>
      <w:r>
        <w:rPr>
          <w:rFonts w:cs="Times New Roman"/>
          <w:szCs w:val="24"/>
        </w:rPr>
        <w:t xml:space="preserve"> ha </w:t>
      </w:r>
      <w:r w:rsidR="00252316">
        <w:rPr>
          <w:rFonts w:cs="Times New Roman"/>
          <w:szCs w:val="24"/>
        </w:rPr>
        <w:t>avuto</w:t>
      </w:r>
      <w:r>
        <w:rPr>
          <w:rFonts w:cs="Times New Roman"/>
          <w:szCs w:val="24"/>
        </w:rPr>
        <w:t xml:space="preserve">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 </w:t>
      </w:r>
      <w:r w:rsidR="00F54F5B">
        <w:rPr>
          <w:rFonts w:cs="Times New Roman"/>
          <w:szCs w:val="24"/>
        </w:rPr>
        <w:t>Il progetto finlandese ha ricevuto</w:t>
      </w:r>
      <w:r w:rsidR="00252316">
        <w:rPr>
          <w:rFonts w:cs="Times New Roman"/>
          <w:szCs w:val="24"/>
        </w:rPr>
        <w:t xml:space="preserve"> un notevole slancio grazie al lavoro di</w:t>
      </w:r>
      <w:r w:rsidR="00F54F5B">
        <w:rPr>
          <w:rFonts w:cs="Times New Roman"/>
          <w:szCs w:val="24"/>
        </w:rPr>
        <w:t xml:space="preserve"> </w:t>
      </w:r>
      <w:r>
        <w:rPr>
          <w:rFonts w:cs="Times New Roman"/>
          <w:szCs w:val="24"/>
        </w:rPr>
        <w:t xml:space="preserve">tesi </w:t>
      </w:r>
      <w:r w:rsidR="00252316">
        <w:rPr>
          <w:rFonts w:cs="Times New Roman"/>
          <w:szCs w:val="24"/>
        </w:rPr>
        <w:t>svolto da</w:t>
      </w:r>
      <w:r>
        <w:rPr>
          <w:rFonts w:cs="Times New Roman"/>
          <w:szCs w:val="24"/>
        </w:rPr>
        <w:t xml:space="preserve">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w:t>
      </w:r>
      <w:r w:rsidR="00252316">
        <w:rPr>
          <w:rFonts w:cs="Times New Roman"/>
          <w:szCs w:val="24"/>
        </w:rPr>
        <w:t>propone</w:t>
      </w:r>
      <w:r w:rsidR="005219DB">
        <w:rPr>
          <w:rFonts w:cs="Times New Roman"/>
          <w:szCs w:val="24"/>
        </w:rPr>
        <w:t xml:space="preserve"> un nuovo concetto di mobilità per la </w:t>
      </w:r>
      <w:r w:rsidR="00AD7BFC">
        <w:rPr>
          <w:rFonts w:cs="Times New Roman"/>
          <w:szCs w:val="24"/>
        </w:rPr>
        <w:t>città</w:t>
      </w:r>
      <w:r w:rsidR="005219DB">
        <w:rPr>
          <w:rFonts w:cs="Times New Roman"/>
          <w:szCs w:val="24"/>
        </w:rPr>
        <w:t xml:space="preserve"> di Helsinki</w:t>
      </w:r>
      <w:r w:rsidR="00252316">
        <w:rPr>
          <w:rFonts w:cs="Times New Roman"/>
          <w:szCs w:val="24"/>
        </w:rPr>
        <w:t xml:space="preserve"> per </w:t>
      </w:r>
      <w:r w:rsidR="005219DB">
        <w:rPr>
          <w:rFonts w:cs="Times New Roman"/>
          <w:szCs w:val="24"/>
        </w:rPr>
        <w:t>rispondere</w:t>
      </w:r>
      <w:r w:rsidR="00AD7BFC">
        <w:rPr>
          <w:rFonts w:cs="Times New Roman"/>
          <w:szCs w:val="24"/>
        </w:rPr>
        <w:t xml:space="preserve"> alle </w:t>
      </w:r>
      <w:r w:rsidR="00252316">
        <w:rPr>
          <w:rFonts w:cs="Times New Roman"/>
          <w:szCs w:val="24"/>
        </w:rPr>
        <w:t xml:space="preserve">sfide </w:t>
      </w:r>
      <w:r w:rsidR="00AD7BFC">
        <w:rPr>
          <w:rFonts w:cs="Times New Roman"/>
          <w:szCs w:val="24"/>
        </w:rPr>
        <w:t>sempre più frequenti poste al settore dei trasporti.</w:t>
      </w:r>
      <w:r w:rsidR="004F6C2A">
        <w:rPr>
          <w:rFonts w:cs="Times New Roman"/>
          <w:szCs w:val="24"/>
        </w:rPr>
        <w:t xml:space="preserve"> Le principali difficoltà risiedono nell’inaffidabilità dei mezzi pubblici</w:t>
      </w:r>
      <w:r w:rsidR="00252316">
        <w:rPr>
          <w:rFonts w:cs="Times New Roman"/>
          <w:szCs w:val="24"/>
        </w:rPr>
        <w:t>,</w:t>
      </w:r>
      <w:r w:rsidR="004F6C2A">
        <w:rPr>
          <w:rFonts w:cs="Times New Roman"/>
          <w:szCs w:val="24"/>
        </w:rPr>
        <w:t xml:space="preserve"> unico modo per raggiungere determinate mete, comparata con la difficoltà </w:t>
      </w:r>
      <w:r w:rsidR="00252316">
        <w:rPr>
          <w:rFonts w:cs="Times New Roman"/>
          <w:szCs w:val="24"/>
        </w:rPr>
        <w:t>ad</w:t>
      </w:r>
      <w:r w:rsidR="004F6C2A">
        <w:rPr>
          <w:rFonts w:cs="Times New Roman"/>
          <w:szCs w:val="24"/>
        </w:rPr>
        <w:t xml:space="preserve"> usare l’auto di proprietà, causa </w:t>
      </w:r>
      <w:r w:rsidR="00252316">
        <w:rPr>
          <w:rFonts w:cs="Times New Roman"/>
          <w:szCs w:val="24"/>
        </w:rPr>
        <w:t>mancanza</w:t>
      </w:r>
      <w:r w:rsidR="004F6C2A">
        <w:rPr>
          <w:rFonts w:cs="Times New Roman"/>
          <w:szCs w:val="24"/>
        </w:rPr>
        <w:t xml:space="preserve"> parcheggi o </w:t>
      </w:r>
      <w:r w:rsidR="00252316">
        <w:rPr>
          <w:rFonts w:cs="Times New Roman"/>
          <w:szCs w:val="24"/>
        </w:rPr>
        <w:t>rischio di</w:t>
      </w:r>
      <w:r w:rsidR="004F6C2A">
        <w:rPr>
          <w:rFonts w:cs="Times New Roman"/>
          <w:szCs w:val="24"/>
        </w:rPr>
        <w:t xml:space="preserve"> </w:t>
      </w:r>
      <w:r w:rsidR="00252316">
        <w:rPr>
          <w:rFonts w:cs="Times New Roman"/>
          <w:szCs w:val="24"/>
        </w:rPr>
        <w:t xml:space="preserve">ingorghi </w:t>
      </w:r>
      <w:r w:rsidR="004F6C2A">
        <w:rPr>
          <w:rFonts w:cs="Times New Roman"/>
          <w:szCs w:val="24"/>
        </w:rPr>
        <w:t>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w:t>
      </w:r>
      <w:r w:rsidR="00252316">
        <w:rPr>
          <w:rFonts w:cs="Times New Roman"/>
          <w:szCs w:val="24"/>
        </w:rPr>
        <w:t>ce si applica anche ai</w:t>
      </w:r>
      <w:r w:rsidR="00E018C4">
        <w:rPr>
          <w:rFonts w:cs="Times New Roman"/>
          <w:szCs w:val="24"/>
        </w:rPr>
        <w:t xml:space="preserv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w:t>
      </w:r>
      <w:r w:rsidR="00252316">
        <w:rPr>
          <w:rFonts w:cs="Times New Roman"/>
          <w:szCs w:val="24"/>
        </w:rPr>
        <w:t>consentirebbe</w:t>
      </w:r>
      <w:r w:rsidR="001A37BA" w:rsidRPr="00417126">
        <w:rPr>
          <w:rFonts w:cs="Times New Roman"/>
          <w:szCs w:val="24"/>
        </w:rPr>
        <w:t xml:space="preserve"> di aumentare l’efficienza </w:t>
      </w:r>
      <w:r w:rsidR="00252316">
        <w:rPr>
          <w:rFonts w:cs="Times New Roman"/>
          <w:szCs w:val="24"/>
        </w:rPr>
        <w:t>nell’uso de</w:t>
      </w:r>
      <w:r w:rsidR="001A37BA" w:rsidRPr="00417126">
        <w:rPr>
          <w:rFonts w:cs="Times New Roman"/>
          <w:szCs w:val="24"/>
        </w:rPr>
        <w:t xml:space="preserve">i mezzi </w:t>
      </w:r>
      <w:r w:rsidR="00EC63DA">
        <w:rPr>
          <w:rFonts w:cs="Times New Roman"/>
          <w:szCs w:val="24"/>
        </w:rPr>
        <w:t>di trasporto</w:t>
      </w:r>
      <w:r w:rsidR="001A37BA" w:rsidRPr="00417126">
        <w:rPr>
          <w:rFonts w:cs="Times New Roman"/>
          <w:szCs w:val="24"/>
        </w:rPr>
        <w:t>,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w:t>
      </w:r>
      <w:r w:rsidR="00252316">
        <w:rPr>
          <w:rFonts w:cs="Times New Roman"/>
          <w:szCs w:val="24"/>
        </w:rPr>
        <w:t>e</w:t>
      </w:r>
      <w:r w:rsidR="00EC63DA">
        <w:rPr>
          <w:rFonts w:cs="Times New Roman"/>
          <w:szCs w:val="24"/>
        </w:rPr>
        <w:t>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una startup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w:t>
      </w:r>
      <w:r w:rsidR="00252316">
        <w:rPr>
          <w:rFonts w:cs="Times New Roman"/>
          <w:szCs w:val="24"/>
        </w:rPr>
        <w:t>urbano</w:t>
      </w:r>
      <w:r w:rsidR="00F54F5B">
        <w:rPr>
          <w:rFonts w:cs="Times New Roman"/>
          <w:szCs w:val="24"/>
        </w:rPr>
        <w:t>, i taxi e le auto a noleggio, ma saranno presto integrati anche i servizi di bike e car sharing.</w:t>
      </w:r>
    </w:p>
    <w:p w:rsidR="001A37BA" w:rsidRPr="00417126" w:rsidRDefault="001A37BA" w:rsidP="000C71B7">
      <w:pPr>
        <w:pStyle w:val="Heading3"/>
        <w:spacing w:after="160" w:line="360" w:lineRule="auto"/>
      </w:pPr>
      <w:bookmarkStart w:id="4" w:name="_Toc466904535"/>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4"/>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252316" w:rsidRDefault="001A37BA" w:rsidP="000C71B7">
      <w:pPr>
        <w:rPr>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00252316">
        <w:rPr>
          <w:szCs w:val="24"/>
        </w:rPr>
        <w:t>:</w:t>
      </w:r>
    </w:p>
    <w:p w:rsidR="001A37BA" w:rsidRPr="00B42F5C" w:rsidRDefault="001A37BA" w:rsidP="000C71B7">
      <w:pPr>
        <w:rPr>
          <w:rStyle w:val="HTMLCode"/>
          <w:rFonts w:eastAsiaTheme="minorEastAsia"/>
          <w:bCs/>
          <w:sz w:val="24"/>
          <w:szCs w:val="24"/>
        </w:rPr>
      </w:pPr>
      <w:proofErr w:type="spellStart"/>
      <w:r w:rsidRPr="00B42F5C">
        <w:rPr>
          <w:rStyle w:val="HTMLCode"/>
          <w:rFonts w:eastAsiaTheme="minorEastAsia"/>
          <w:bCs/>
          <w:sz w:val="24"/>
          <w:szCs w:val="24"/>
        </w:rPr>
        <w:t>requestSuggestions</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requestTransportModePreferences</w:t>
      </w:r>
      <w:proofErr w:type="spellEnd"/>
      <w:r w:rsidRPr="00B42F5C">
        <w:rPr>
          <w:rStyle w:val="HTMLCode"/>
          <w:rFonts w:eastAsiaTheme="minorEastAsia"/>
          <w:bCs/>
          <w:sz w:val="24"/>
          <w:szCs w:val="24"/>
        </w:rPr>
        <w:t xml:space="preserve">(), </w:t>
      </w:r>
      <w:r w:rsidRPr="00B42F5C">
        <w:rPr>
          <w:rStyle w:val="HTMLCode"/>
          <w:rFonts w:ascii="Times New Roman" w:eastAsiaTheme="minorEastAsia" w:hAnsi="Times New Roman" w:cs="Times New Roman"/>
          <w:bCs/>
          <w:sz w:val="24"/>
          <w:szCs w:val="24"/>
        </w:rPr>
        <w:t>e</w:t>
      </w:r>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sendSearchedRoute</w:t>
      </w:r>
      <w:proofErr w:type="spellEnd"/>
      <w:r w:rsidRPr="00B42F5C">
        <w:rPr>
          <w:rStyle w:val="HTMLCode"/>
          <w:rFonts w:eastAsiaTheme="minorEastAsia"/>
          <w:bCs/>
          <w:sz w:val="24"/>
          <w:szCs w:val="24"/>
        </w:rPr>
        <w:t>(</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startLocation</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destination</w:t>
      </w:r>
      <w:proofErr w:type="spellEnd"/>
      <w:r w:rsidRPr="00B42F5C">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252316">
        <w:rPr>
          <w:rFonts w:cs="Times New Roman"/>
          <w:i/>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esempio la richiesta esplicita di un permesso (revocabile in ogni momento) per l’utilizzo di dati personali</w:t>
      </w:r>
      <w:r w:rsidR="00252316">
        <w:rPr>
          <w:rFonts w:cs="Times New Roman"/>
          <w:szCs w:val="24"/>
        </w:rPr>
        <w:t>,</w:t>
      </w:r>
      <w:r w:rsidRPr="00417126">
        <w:rPr>
          <w:rFonts w:cs="Times New Roman"/>
          <w:szCs w:val="24"/>
        </w:rPr>
        <w:t xml:space="preserve">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5" w:name="_Toc466904536"/>
      <w:r w:rsidRPr="00417126">
        <w:t>2.2 Smart Mobility for All</w:t>
      </w:r>
      <w:bookmarkEnd w:id="5"/>
    </w:p>
    <w:p w:rsidR="005314B2" w:rsidRDefault="005314B2" w:rsidP="000C71B7">
      <w:pPr>
        <w:rPr>
          <w:rFonts w:cs="Times New Roman"/>
          <w:szCs w:val="24"/>
        </w:rPr>
      </w:pPr>
      <w:r>
        <w:rPr>
          <w:rFonts w:cs="Times New Roman"/>
          <w:szCs w:val="24"/>
        </w:rPr>
        <w:t>Rimanendo sul filone della mobilità intelligente,</w:t>
      </w:r>
      <w:r w:rsidR="009C21C0">
        <w:rPr>
          <w:rFonts w:cs="Times New Roman"/>
          <w:szCs w:val="24"/>
        </w:rPr>
        <w:t xml:space="preserve"> il progetto Smart </w:t>
      </w:r>
      <w:proofErr w:type="spellStart"/>
      <w:r w:rsidR="009C21C0">
        <w:rPr>
          <w:rFonts w:cs="Times New Roman"/>
          <w:szCs w:val="24"/>
        </w:rPr>
        <w:t>Mobility</w:t>
      </w:r>
      <w:proofErr w:type="spellEnd"/>
      <w:r w:rsidR="009C21C0">
        <w:rPr>
          <w:rFonts w:cs="Times New Roman"/>
          <w:szCs w:val="24"/>
        </w:rPr>
        <w:t xml:space="preserve"> for </w:t>
      </w:r>
      <w:proofErr w:type="spellStart"/>
      <w:r w:rsidR="009C21C0">
        <w:rPr>
          <w:rFonts w:cs="Times New Roman"/>
          <w:szCs w:val="24"/>
        </w:rPr>
        <w:t>All</w:t>
      </w:r>
      <w:proofErr w:type="spellEnd"/>
      <w:r>
        <w:rPr>
          <w:rFonts w:cs="Times New Roman"/>
          <w:szCs w:val="24"/>
        </w:rPr>
        <w:t xml:space="preserve"> si sviluppa in modo indipendente da </w:t>
      </w:r>
      <w:proofErr w:type="spellStart"/>
      <w:r>
        <w:rPr>
          <w:rFonts w:cs="Times New Roman"/>
          <w:szCs w:val="24"/>
        </w:rPr>
        <w:t>MaaS</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w:t>
      </w:r>
      <w:r w:rsidR="009C21C0">
        <w:rPr>
          <w:rFonts w:cs="Times New Roman"/>
          <w:szCs w:val="24"/>
        </w:rPr>
        <w:t>la costruzione di</w:t>
      </w:r>
      <w:r w:rsidRPr="00417126">
        <w:rPr>
          <w:rFonts w:cs="Times New Roman"/>
          <w:szCs w:val="24"/>
        </w:rPr>
        <w:t xml:space="preserve"> un insieme di servizi di mobilità, potenzialmente anche per mezzi di trasporto molto diversi fra loro, che gestisca l’intero ciclo di vita di un viaggio, dalla prenotazione all’effettivo spostamento</w:t>
      </w:r>
      <w:r w:rsidR="009C21C0">
        <w:rPr>
          <w:rFonts w:cs="Times New Roman"/>
          <w:szCs w:val="24"/>
        </w:rPr>
        <w:t xml:space="preserve"> e all’arrivo a destinazione</w:t>
      </w:r>
      <w:r w:rsidRPr="00417126">
        <w:rPr>
          <w:rFonts w:cs="Times New Roman"/>
          <w:szCs w:val="24"/>
        </w:rPr>
        <w:t xml:space="preserve">.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w:t>
      </w:r>
      <w:r w:rsidR="009C21C0">
        <w:rPr>
          <w:rFonts w:cs="Times New Roman"/>
          <w:szCs w:val="24"/>
        </w:rPr>
        <w:t>sugli spostamenti futuri</w:t>
      </w:r>
      <w:r w:rsidRPr="00417126">
        <w:rPr>
          <w:rFonts w:cs="Times New Roman"/>
          <w:szCs w:val="24"/>
        </w:rPr>
        <w:t>,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 xml:space="preserve">Ancora in via di sviluppo, si </w:t>
      </w:r>
      <w:r w:rsidR="009C21C0">
        <w:rPr>
          <w:rFonts w:cs="Times New Roman"/>
          <w:szCs w:val="24"/>
        </w:rPr>
        <w:t>basa sul concetto di modularità</w:t>
      </w:r>
      <w:r>
        <w:rPr>
          <w:rFonts w:cs="Times New Roman"/>
          <w:szCs w:val="24"/>
        </w:rPr>
        <w:t xml:space="preserve"> che punta a fare di o</w:t>
      </w:r>
      <w:r w:rsidR="00DB2F48">
        <w:rPr>
          <w:rFonts w:cs="Times New Roman"/>
          <w:szCs w:val="24"/>
        </w:rPr>
        <w:t>gni servizio un modulo separato e indipendente.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All’interno dei vari componenti dell’infrastruttura si potrebbe prevedere un gestore di dati personali del quale si porta</w:t>
      </w:r>
      <w:r w:rsidR="009C21C0">
        <w:rPr>
          <w:rFonts w:cs="Times New Roman"/>
          <w:szCs w:val="24"/>
        </w:rPr>
        <w:t>,</w:t>
      </w:r>
      <w:r>
        <w:rPr>
          <w:rFonts w:cs="Times New Roman"/>
          <w:szCs w:val="24"/>
        </w:rPr>
        <w:t xml:space="preserve"> in questa tesi</w:t>
      </w:r>
      <w:r w:rsidR="009C21C0">
        <w:rPr>
          <w:rFonts w:cs="Times New Roman"/>
          <w:szCs w:val="24"/>
        </w:rPr>
        <w:t>, un esempio semplificato. I</w:t>
      </w:r>
      <w:r w:rsidR="001A37BA" w:rsidRPr="00417126">
        <w:rPr>
          <w:rFonts w:cs="Times New Roman"/>
          <w:szCs w:val="24"/>
        </w:rPr>
        <w:t>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6" w:name="_Toc466904537"/>
      <w:r>
        <w:t>2 ½ GDPR??</w:t>
      </w:r>
      <w:bookmarkEnd w:id="6"/>
    </w:p>
    <w:p w:rsidR="00314770" w:rsidRPr="00314770" w:rsidRDefault="00314770" w:rsidP="000C71B7"/>
    <w:p w:rsidR="001A37BA" w:rsidRDefault="001A37BA" w:rsidP="000C71B7">
      <w:pPr>
        <w:pStyle w:val="Heading1"/>
        <w:spacing w:before="120" w:after="160" w:line="360" w:lineRule="auto"/>
      </w:pPr>
      <w:bookmarkStart w:id="7" w:name="_Toc466904538"/>
      <w:r w:rsidRPr="00417126">
        <w:t>3 Architettura MyData</w:t>
      </w:r>
      <w:bookmarkEnd w:id="7"/>
    </w:p>
    <w:p w:rsidR="000039B6" w:rsidRPr="000039B6" w:rsidRDefault="000039B6" w:rsidP="000C71B7">
      <w:r>
        <w:t xml:space="preserve">Al fine di comprendere appieno le scelte effettuate all’interno del progetto, si </w:t>
      </w:r>
      <w:r w:rsidR="009C21C0">
        <w:t>evidenziano</w:t>
      </w:r>
      <w:r>
        <w:t xml:space="preserve"> brevemente le componenti e la struttura del modello </w:t>
      </w:r>
      <w:proofErr w:type="spellStart"/>
      <w:r w:rsidRPr="009C21C0">
        <w:rPr>
          <w:i/>
        </w:rPr>
        <w:t>MyData</w:t>
      </w:r>
      <w:proofErr w:type="spellEnd"/>
      <w:r>
        <w:t>.</w:t>
      </w:r>
    </w:p>
    <w:p w:rsidR="009521EC" w:rsidRPr="00417126" w:rsidRDefault="001A37BA" w:rsidP="000C71B7">
      <w:pPr>
        <w:pStyle w:val="Heading2"/>
        <w:spacing w:after="160" w:line="360" w:lineRule="auto"/>
      </w:pPr>
      <w:bookmarkStart w:id="8" w:name="_Toc466904539"/>
      <w:r w:rsidRPr="00417126">
        <w:t>3.</w:t>
      </w:r>
      <w:r w:rsidR="009521EC" w:rsidRPr="00417126">
        <w:t>1 Entità fondamentali</w:t>
      </w:r>
      <w:bookmarkEnd w:id="8"/>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9C21C0">
        <w:rPr>
          <w:rFonts w:cs="Times New Roman"/>
          <w:i/>
          <w:szCs w:val="24"/>
        </w:rPr>
        <w:t>MyData</w:t>
      </w:r>
      <w:proofErr w:type="spellEnd"/>
      <w:r w:rsidRPr="00417126">
        <w:rPr>
          <w:rFonts w:cs="Times New Roman"/>
          <w:szCs w:val="24"/>
        </w:rPr>
        <w:t xml:space="preserve"> si costruisce su quattro componenti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9C21C0">
        <w:rPr>
          <w:rFonts w:cs="Times New Roman"/>
          <w:i/>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xml:space="preserve">. </w:t>
      </w:r>
      <w:r w:rsidR="009C21C0">
        <w:rPr>
          <w:rFonts w:cs="Times New Roman"/>
          <w:szCs w:val="24"/>
        </w:rPr>
        <w:t>Esse</w:t>
      </w:r>
      <w:r w:rsidR="0017795C" w:rsidRPr="00417126">
        <w:rPr>
          <w:rFonts w:cs="Times New Roman"/>
          <w:szCs w:val="24"/>
        </w:rPr>
        <w:t xml:space="preserve"> sono</w:t>
      </w:r>
      <w:r w:rsidRPr="00417126">
        <w:rPr>
          <w:rFonts w:cs="Times New Roman"/>
          <w:szCs w:val="24"/>
        </w:rPr>
        <w:t xml:space="preserve"> </w:t>
      </w:r>
      <w:r w:rsidR="009C21C0">
        <w:rPr>
          <w:rFonts w:cs="Times New Roman"/>
          <w:szCs w:val="24"/>
        </w:rPr>
        <w:t>definite</w:t>
      </w:r>
      <w:r w:rsidRPr="00417126">
        <w:rPr>
          <w:rFonts w:cs="Times New Roman"/>
          <w:szCs w:val="24"/>
        </w:rPr>
        <w:t xml:space="preserv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sidRPr="009C21C0">
        <w:rPr>
          <w:rFonts w:cs="Times New Roman"/>
          <w:i/>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xml:space="preserve"> fra i quali vi sono la gestione degli utenti, dei servizi e delle interazioni che avvengono fra le due parti.</w:t>
      </w:r>
      <w:r w:rsidR="00243275">
        <w:rPr>
          <w:rFonts w:cs="Times New Roman"/>
          <w:szCs w:val="24"/>
        </w:rPr>
        <w:t xml:space="preserve"> </w:t>
      </w:r>
      <w:r w:rsidR="009C21C0">
        <w:rPr>
          <w:rFonts w:cs="Times New Roman"/>
          <w:szCs w:val="24"/>
        </w:rPr>
        <w:t>Esso si</w:t>
      </w:r>
      <w:r w:rsidR="00243275">
        <w:rPr>
          <w:rFonts w:cs="Times New Roman"/>
          <w:szCs w:val="24"/>
        </w:rPr>
        <w:t xml:space="preserve"> occupa anche di gestire l’Audit Log di tutte le operazioni che coinvolgono tali interazioni.</w:t>
      </w:r>
    </w:p>
    <w:p w:rsidR="005911FD" w:rsidRPr="00417126" w:rsidRDefault="001A37BA" w:rsidP="000C71B7">
      <w:pPr>
        <w:pStyle w:val="Heading2"/>
        <w:spacing w:after="160" w:line="360" w:lineRule="auto"/>
      </w:pPr>
      <w:bookmarkStart w:id="9" w:name="_Ref466761680"/>
      <w:bookmarkStart w:id="10" w:name="_Ref466761686"/>
      <w:bookmarkStart w:id="11" w:name="_Ref466761690"/>
      <w:bookmarkStart w:id="12" w:name="_Ref466761693"/>
      <w:bookmarkStart w:id="13" w:name="_Toc466904540"/>
      <w:r w:rsidRPr="00417126">
        <w:t>3</w:t>
      </w:r>
      <w:r w:rsidR="005911FD" w:rsidRPr="00417126">
        <w:t>.2 Service Registry, Service Linking</w:t>
      </w:r>
      <w:bookmarkEnd w:id="9"/>
      <w:bookmarkEnd w:id="10"/>
      <w:bookmarkEnd w:id="11"/>
      <w:bookmarkEnd w:id="12"/>
      <w:bookmarkEnd w:id="13"/>
    </w:p>
    <w:p w:rsidR="000039B6" w:rsidRDefault="009C21C0" w:rsidP="000C71B7">
      <w:pPr>
        <w:rPr>
          <w:rFonts w:cs="Times New Roman"/>
          <w:szCs w:val="24"/>
        </w:rPr>
      </w:pPr>
      <w:r>
        <w:rPr>
          <w:rFonts w:cs="Times New Roman"/>
          <w:szCs w:val="24"/>
        </w:rPr>
        <w:t>C</w:t>
      </w:r>
      <w:r w:rsidR="005D314D" w:rsidRPr="00417126">
        <w:rPr>
          <w:rFonts w:cs="Times New Roman"/>
          <w:szCs w:val="24"/>
        </w:rPr>
        <w:t xml:space="preserve">on </w:t>
      </w:r>
      <w:r w:rsidR="005D314D" w:rsidRPr="00417126">
        <w:rPr>
          <w:rFonts w:cs="Times New Roman"/>
          <w:i/>
          <w:szCs w:val="24"/>
        </w:rPr>
        <w:t xml:space="preserve">Service </w:t>
      </w:r>
      <w:proofErr w:type="spellStart"/>
      <w:r w:rsidR="005D314D" w:rsidRPr="00417126">
        <w:rPr>
          <w:rFonts w:cs="Times New Roman"/>
          <w:i/>
          <w:szCs w:val="24"/>
        </w:rPr>
        <w:t>Registry</w:t>
      </w:r>
      <w:proofErr w:type="spellEnd"/>
      <w:r w:rsidR="005D314D" w:rsidRPr="00417126">
        <w:rPr>
          <w:rFonts w:cs="Times New Roman"/>
          <w:szCs w:val="24"/>
        </w:rPr>
        <w:t xml:space="preserve"> </w:t>
      </w:r>
      <w:r>
        <w:rPr>
          <w:rFonts w:cs="Times New Roman"/>
          <w:szCs w:val="24"/>
        </w:rPr>
        <w:t xml:space="preserve">viene indicata </w:t>
      </w:r>
      <w:r w:rsidR="005D314D" w:rsidRPr="00417126">
        <w:rPr>
          <w:rFonts w:cs="Times New Roman"/>
          <w:szCs w:val="24"/>
        </w:rPr>
        <w:t>quella parte dell’</w:t>
      </w:r>
      <w:r w:rsidR="005D314D" w:rsidRPr="00417126">
        <w:rPr>
          <w:rFonts w:cs="Times New Roman"/>
          <w:i/>
          <w:szCs w:val="24"/>
        </w:rPr>
        <w:t>Operator</w:t>
      </w:r>
      <w:r w:rsidR="005D314D"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w:t>
      </w:r>
      <w:r w:rsidR="000039B6">
        <w:rPr>
          <w:rFonts w:cs="Times New Roman"/>
          <w:szCs w:val="24"/>
        </w:rPr>
        <w:lastRenderedPageBreak/>
        <w:t xml:space="preserve">funzionalità di </w:t>
      </w:r>
      <w:r w:rsidR="005D314D" w:rsidRPr="00417126">
        <w:rPr>
          <w:rFonts w:cs="Times New Roman"/>
          <w:i/>
          <w:szCs w:val="24"/>
        </w:rPr>
        <w:t xml:space="preserve">Service </w:t>
      </w:r>
      <w:proofErr w:type="spellStart"/>
      <w:r w:rsidR="005D314D"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9C21C0">
        <w:rPr>
          <w:rFonts w:cs="Times New Roman"/>
          <w:szCs w:val="24"/>
        </w:rPr>
        <w:t>edura di registrazione</w:t>
      </w:r>
      <w:r w:rsidR="003B1942" w:rsidRPr="00417126">
        <w:rPr>
          <w:rFonts w:cs="Times New Roman"/>
          <w:szCs w:val="24"/>
        </w:rPr>
        <w:t xml:space="preserv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Default="007F52C5" w:rsidP="00824A9B">
      <w:pPr>
        <w:pStyle w:val="Heading3"/>
        <w:rPr>
          <w:lang w:val="en-GB"/>
        </w:rPr>
      </w:pPr>
      <w:bookmarkStart w:id="14" w:name="_Toc466904541"/>
      <w:r>
        <w:rPr>
          <w:lang w:val="en-GB"/>
        </w:rPr>
        <w:t>3.2.1 OA</w:t>
      </w:r>
      <w:r w:rsidR="00824A9B" w:rsidRPr="00824A9B">
        <w:rPr>
          <w:lang w:val="en-GB"/>
        </w:rPr>
        <w:t>uth 2.0</w:t>
      </w:r>
      <w:bookmarkEnd w:id="14"/>
    </w:p>
    <w:p w:rsidR="00824A9B" w:rsidRPr="00824A9B" w:rsidRDefault="00824A9B" w:rsidP="00824A9B">
      <w:pPr>
        <w:rPr>
          <w:lang w:val="en-GB"/>
        </w:rPr>
      </w:pPr>
      <w:r>
        <w:rPr>
          <w:lang w:val="en-GB"/>
        </w:rPr>
        <w:t xml:space="preserve">//Da </w:t>
      </w:r>
      <w:proofErr w:type="spellStart"/>
      <w:r>
        <w:rPr>
          <w:lang w:val="en-GB"/>
        </w:rPr>
        <w:t>completare</w:t>
      </w:r>
      <w:proofErr w:type="spellEnd"/>
    </w:p>
    <w:p w:rsidR="00824A9B" w:rsidRPr="00824A9B" w:rsidRDefault="00824A9B" w:rsidP="000C71B7">
      <w:pPr>
        <w:rPr>
          <w:rFonts w:cs="Times New Roman"/>
          <w:szCs w:val="24"/>
          <w:lang w:val="en-GB"/>
        </w:rPr>
      </w:pPr>
      <w:r w:rsidRPr="00824A9B">
        <w:rPr>
          <w:rFonts w:cs="Times New Roman"/>
          <w:szCs w:val="24"/>
          <w:lang w:val="en-GB"/>
        </w:rPr>
        <w:t>http://tutorials.jenkov.com/oauth2/authorization-code-request-response.html</w:t>
      </w:r>
    </w:p>
    <w:p w:rsidR="005911FD" w:rsidRPr="00417126" w:rsidRDefault="005911FD" w:rsidP="000C71B7">
      <w:pPr>
        <w:pStyle w:val="Heading2"/>
        <w:spacing w:after="160" w:line="360" w:lineRule="auto"/>
      </w:pPr>
      <w:r w:rsidRPr="00824A9B">
        <w:rPr>
          <w:lang w:val="en-GB"/>
        </w:rPr>
        <w:t xml:space="preserve"> </w:t>
      </w:r>
      <w:bookmarkStart w:id="15" w:name="_Toc466904542"/>
      <w:r w:rsidR="001A37BA" w:rsidRPr="00417126">
        <w:t>3</w:t>
      </w:r>
      <w:r w:rsidR="007B0F34" w:rsidRPr="00417126">
        <w:t xml:space="preserve">.3 Autorizzazioni e </w:t>
      </w:r>
      <w:r w:rsidRPr="00417126">
        <w:t>Consent</w:t>
      </w:r>
      <w:bookmarkEnd w:id="15"/>
    </w:p>
    <w:p w:rsidR="005911FD" w:rsidRPr="00417126" w:rsidRDefault="005911FD" w:rsidP="000C71B7">
      <w:pPr>
        <w:rPr>
          <w:rFonts w:cs="Times New Roman"/>
          <w:szCs w:val="24"/>
        </w:rPr>
      </w:pPr>
      <w:r w:rsidRPr="00417126">
        <w:rPr>
          <w:rFonts w:cs="Times New Roman"/>
          <w:szCs w:val="24"/>
        </w:rPr>
        <w:t>Come specificato dal GDPR, ogni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lastRenderedPageBreak/>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w:t>
      </w:r>
      <w:r w:rsidR="009C21C0">
        <w:rPr>
          <w:rFonts w:cs="Times New Roman"/>
          <w:szCs w:val="24"/>
        </w:rPr>
        <w:t xml:space="preserve"> o meno</w:t>
      </w:r>
      <w:r w:rsidR="00C226F9">
        <w:rPr>
          <w:rFonts w:cs="Times New Roman"/>
          <w:szCs w:val="24"/>
        </w:rPr>
        <w:t xml:space="preserve"> al processamento di un determinato insieme di dati da parte di un servizio specificato. È possibile per l’utente chiedere una ridefinizione delle richieste del servizio</w:t>
      </w:r>
      <w:r w:rsidR="009C21C0">
        <w:rPr>
          <w:rFonts w:cs="Times New Roman"/>
          <w:szCs w:val="24"/>
        </w:rPr>
        <w:t>,</w:t>
      </w:r>
      <w:r w:rsidR="00C226F9">
        <w:rPr>
          <w:rFonts w:cs="Times New Roman"/>
          <w:szCs w:val="24"/>
        </w:rPr>
        <w:t xml:space="preserve"> ma non al di sotto del limite previsto per un corretto svolgimento del servizio stesso.</w:t>
      </w:r>
    </w:p>
    <w:p w:rsidR="00C226F9" w:rsidRPr="00C226F9" w:rsidRDefault="009C21C0" w:rsidP="000C71B7">
      <w:pPr>
        <w:rPr>
          <w:rFonts w:cs="Times New Roman"/>
          <w:szCs w:val="24"/>
        </w:rPr>
      </w:pPr>
      <w:r>
        <w:rPr>
          <w:rFonts w:cs="Times New Roman"/>
          <w:szCs w:val="24"/>
        </w:rPr>
        <w:t>Nel</w:t>
      </w:r>
      <w:r w:rsidR="00C226F9">
        <w:rPr>
          <w:rFonts w:cs="Times New Roman"/>
          <w:szCs w:val="24"/>
        </w:rPr>
        <w:t xml:space="preserve"> caso la procedura di autorizzazione </w:t>
      </w:r>
      <w:r>
        <w:rPr>
          <w:rFonts w:cs="Times New Roman"/>
          <w:szCs w:val="24"/>
        </w:rPr>
        <w:t>si concluda</w:t>
      </w:r>
      <w:r w:rsidR="00C226F9">
        <w:rPr>
          <w:rFonts w:cs="Times New Roman"/>
          <w:szCs w:val="24"/>
        </w:rPr>
        <w:t xml:space="preserve"> con successo, viene prodotto un </w:t>
      </w:r>
      <w:proofErr w:type="spellStart"/>
      <w:r w:rsidR="00C226F9">
        <w:rPr>
          <w:rFonts w:cs="Times New Roman"/>
          <w:i/>
          <w:szCs w:val="24"/>
        </w:rPr>
        <w:t>Consent</w:t>
      </w:r>
      <w:proofErr w:type="spellEnd"/>
      <w:r w:rsidR="00C226F9">
        <w:rPr>
          <w:rFonts w:cs="Times New Roman"/>
          <w:i/>
          <w:szCs w:val="24"/>
        </w:rPr>
        <w:t xml:space="preserve"> Record </w:t>
      </w:r>
      <w:r w:rsidR="00C226F9">
        <w:rPr>
          <w:rFonts w:cs="Times New Roman"/>
          <w:szCs w:val="24"/>
        </w:rPr>
        <w:t>che contiene tutte le specifiche negoziate fra le parti insieme a</w:t>
      </w:r>
      <w:r w:rsidR="00742CB0">
        <w:rPr>
          <w:rFonts w:cs="Times New Roman"/>
          <w:szCs w:val="24"/>
        </w:rPr>
        <w:t xml:space="preserve">gli identificatori dell’utente e del servizio. </w:t>
      </w:r>
      <w:r w:rsidR="00054861">
        <w:rPr>
          <w:rFonts w:cs="Times New Roman"/>
          <w:szCs w:val="24"/>
        </w:rPr>
        <w:t>Esso</w:t>
      </w:r>
      <w:r w:rsidR="00742CB0">
        <w:rPr>
          <w:rFonts w:cs="Times New Roman"/>
          <w:szCs w:val="24"/>
        </w:rPr>
        <w:t xml:space="preserve">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w:t>
      </w:r>
      <w:r w:rsidR="00054861">
        <w:rPr>
          <w:rFonts w:cs="Times New Roman"/>
          <w:szCs w:val="24"/>
        </w:rPr>
        <w:t>all’</w:t>
      </w:r>
      <w:r w:rsidRPr="00417126">
        <w:rPr>
          <w:rFonts w:cs="Times New Roman"/>
          <w:szCs w:val="24"/>
        </w:rPr>
        <w:t xml:space="preserve">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w:t>
      </w:r>
      <w:r w:rsidR="00054861">
        <w:rPr>
          <w:rFonts w:cs="Times New Roman"/>
          <w:szCs w:val="24"/>
        </w:rPr>
        <w:t>di</w:t>
      </w:r>
      <w:r w:rsidRPr="00417126">
        <w:rPr>
          <w:rFonts w:cs="Times New Roman"/>
          <w:szCs w:val="24"/>
        </w:rPr>
        <w:t xml:space="preserve"> funzionamento, in cui l’accesso ai dati è consentito; si hanno poi gli stati “disabilitato” e “ritirato”, in cui l’accesso è impedito. Nel caso in cui il permesso sia</w:t>
      </w:r>
      <w:r w:rsidR="00054861">
        <w:rPr>
          <w:rFonts w:cs="Times New Roman"/>
          <w:szCs w:val="24"/>
        </w:rPr>
        <w:t xml:space="preserve"> stato</w:t>
      </w:r>
      <w:r w:rsidRPr="00417126">
        <w:rPr>
          <w:rFonts w:cs="Times New Roman"/>
          <w:szCs w:val="24"/>
        </w:rPr>
        <w:t xml:space="preserve">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volontariamente 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824A9B" w:rsidRDefault="00824A9B" w:rsidP="00824A9B">
      <w:pPr>
        <w:pStyle w:val="Heading3"/>
        <w:rPr>
          <w:sz w:val="48"/>
          <w:lang w:val="en-GB"/>
        </w:rPr>
      </w:pPr>
      <w:bookmarkStart w:id="16" w:name="_Toc466904543"/>
      <w:r w:rsidRPr="00824A9B">
        <w:rPr>
          <w:lang w:val="en-GB"/>
        </w:rPr>
        <w:t xml:space="preserve">3.3.1 </w:t>
      </w:r>
      <w:proofErr w:type="spellStart"/>
      <w:r w:rsidRPr="00824A9B">
        <w:rPr>
          <w:lang w:val="en-GB"/>
        </w:rPr>
        <w:t>Kantara</w:t>
      </w:r>
      <w:proofErr w:type="spellEnd"/>
      <w:r w:rsidRPr="00824A9B">
        <w:rPr>
          <w:lang w:val="en-GB"/>
        </w:rPr>
        <w:t xml:space="preserve"> Consent &amp; Information Sharing Work Group</w:t>
      </w:r>
      <w:bookmarkEnd w:id="16"/>
    </w:p>
    <w:p w:rsidR="000C71B7" w:rsidRDefault="000C71B7" w:rsidP="000C71B7">
      <w:r>
        <w:t>//Da completare</w:t>
      </w:r>
    </w:p>
    <w:p w:rsidR="00824A9B" w:rsidRDefault="00420006" w:rsidP="000C71B7">
      <w:hyperlink r:id="rId6" w:history="1">
        <w:r w:rsidR="00824A9B" w:rsidRPr="004A5FC0">
          <w:rPr>
            <w:rStyle w:val="Hyperlink"/>
          </w:rPr>
          <w:t>http://kantarainitiative.org/confluence/display/infosharing/Consent+Receipt+Specification</w:t>
        </w:r>
      </w:hyperlink>
    </w:p>
    <w:p w:rsidR="00824A9B" w:rsidRPr="00383011" w:rsidRDefault="00824A9B" w:rsidP="00824A9B">
      <w:pPr>
        <w:pStyle w:val="Heading3"/>
        <w:rPr>
          <w:lang w:val="en-GB"/>
        </w:rPr>
      </w:pPr>
      <w:bookmarkStart w:id="17" w:name="_Toc466904544"/>
      <w:r w:rsidRPr="00383011">
        <w:rPr>
          <w:lang w:val="en-GB"/>
        </w:rPr>
        <w:t>3.3.2 U</w:t>
      </w:r>
      <w:r w:rsidR="00E30DDC" w:rsidRPr="00383011">
        <w:rPr>
          <w:lang w:val="en-GB"/>
        </w:rPr>
        <w:t>ser Managed Access</w:t>
      </w:r>
      <w:bookmarkEnd w:id="17"/>
    </w:p>
    <w:p w:rsidR="00824A9B" w:rsidRPr="00383011" w:rsidRDefault="00824A9B" w:rsidP="000C71B7">
      <w:pPr>
        <w:rPr>
          <w:lang w:val="en-GB"/>
        </w:rPr>
      </w:pPr>
      <w:r w:rsidRPr="00383011">
        <w:rPr>
          <w:lang w:val="en-GB"/>
        </w:rPr>
        <w:t>https://kantarainitiative.org/confluence/display/uma/Home</w:t>
      </w:r>
    </w:p>
    <w:p w:rsidR="00F33D69" w:rsidRPr="00417126" w:rsidRDefault="001A37BA" w:rsidP="000C71B7">
      <w:pPr>
        <w:pStyle w:val="Heading2"/>
        <w:spacing w:after="160" w:line="360" w:lineRule="auto"/>
      </w:pPr>
      <w:bookmarkStart w:id="18" w:name="_Toc466904545"/>
      <w:r w:rsidRPr="00417126">
        <w:t>3</w:t>
      </w:r>
      <w:r w:rsidR="00F33D69" w:rsidRPr="00417126">
        <w:t>.4 Personal Data Storage</w:t>
      </w:r>
      <w:bookmarkEnd w:id="18"/>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054861">
        <w:rPr>
          <w:rFonts w:cs="Times New Roman"/>
          <w:i/>
          <w:szCs w:val="24"/>
        </w:rPr>
        <w:t>MyData</w:t>
      </w:r>
      <w:proofErr w:type="spellEnd"/>
      <w:r w:rsidRPr="00417126">
        <w:rPr>
          <w:rFonts w:cs="Times New Roman"/>
          <w:szCs w:val="24"/>
        </w:rPr>
        <w:t xml:space="preserve">, non è possibile prescindere dall’esistenza di un database che </w:t>
      </w:r>
      <w:r w:rsidRPr="00417126">
        <w:rPr>
          <w:rFonts w:cs="Times New Roman"/>
          <w:szCs w:val="24"/>
        </w:rPr>
        <w:lastRenderedPageBreak/>
        <w:t xml:space="preserve">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sidR="00054861">
        <w:rPr>
          <w:rFonts w:cs="Times New Roman"/>
          <w:szCs w:val="24"/>
        </w:rPr>
        <w:t>, ma</w:t>
      </w:r>
      <w:r>
        <w:rPr>
          <w:rFonts w:cs="Times New Roman"/>
          <w:szCs w:val="24"/>
        </w:rPr>
        <w:t xml:space="preserv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19" w:name="_Toc466904546"/>
      <w:r w:rsidRPr="00417126">
        <w:lastRenderedPageBreak/>
        <w:t>4</w:t>
      </w:r>
      <w:r w:rsidR="00874264" w:rsidRPr="00417126">
        <w:t xml:space="preserve"> </w:t>
      </w:r>
      <w:r w:rsidR="00631F80" w:rsidRPr="00417126">
        <w:t>Analisi</w:t>
      </w:r>
      <w:r w:rsidR="00670BEE" w:rsidRPr="00417126">
        <w:t xml:space="preserve"> e Design</w:t>
      </w:r>
      <w:bookmarkEnd w:id="19"/>
    </w:p>
    <w:p w:rsidR="00824A9B" w:rsidRDefault="000C71B7" w:rsidP="000C71B7">
      <w:r>
        <w:t xml:space="preserve">Il progetto del gestore di dati personali </w:t>
      </w:r>
      <w:r w:rsidR="00E30DDC">
        <w:t>è cominciato con un’analisi</w:t>
      </w:r>
      <w:r>
        <w:t xml:space="preserve"> delle specifiche </w:t>
      </w:r>
      <w:proofErr w:type="spellStart"/>
      <w:r w:rsidRPr="00054861">
        <w:rPr>
          <w:i/>
        </w:rPr>
        <w:t>MyData</w:t>
      </w:r>
      <w:proofErr w:type="spellEnd"/>
      <w:r>
        <w:t xml:space="preserve"> all’interno di uno studio di fattibilità. </w:t>
      </w:r>
      <w:r w:rsidR="00824A9B">
        <w:t>Le soluzioni adottate sono gener</w:t>
      </w:r>
      <w:r w:rsidR="00054861">
        <w:t>almente di portata “</w:t>
      </w:r>
      <w:proofErr w:type="spellStart"/>
      <w:r w:rsidR="00054861">
        <w:t>enterprise</w:t>
      </w:r>
      <w:proofErr w:type="spellEnd"/>
      <w:r w:rsidR="00054861">
        <w:t>”</w:t>
      </w:r>
      <w:r w:rsidR="00824A9B">
        <w:t xml:space="preserve"> e come tali inadatte ad un progetto di tesi. </w:t>
      </w:r>
      <w:r w:rsidR="00364C63">
        <w:t>Per questo motivo ho cercato di seguire</w:t>
      </w:r>
      <w:r w:rsidR="00054861">
        <w:t>,</w:t>
      </w:r>
      <w:r w:rsidR="00364C63">
        <w:t xml:space="preserve"> durante il progetto</w:t>
      </w:r>
      <w:r w:rsidR="00054861">
        <w:t>,</w:t>
      </w:r>
      <w:r w:rsidR="00364C63">
        <w:t xml:space="preserve"> le stesse linee guida e i principi</w:t>
      </w:r>
      <w:r w:rsidR="00054861">
        <w:t xml:space="preserve"> posti</w:t>
      </w:r>
      <w:r w:rsidR="00364C63">
        <w:t xml:space="preserve"> alla base di </w:t>
      </w:r>
      <w:proofErr w:type="spellStart"/>
      <w:r w:rsidR="00364C63" w:rsidRPr="00054861">
        <w:rPr>
          <w:i/>
        </w:rPr>
        <w:t>MyData</w:t>
      </w:r>
      <w:proofErr w:type="spellEnd"/>
      <w:r w:rsidR="00364C63">
        <w:t xml:space="preserve"> preferendo</w:t>
      </w:r>
      <w:r w:rsidR="00054861">
        <w:t>,</w:t>
      </w:r>
      <w:r w:rsidR="00364C63">
        <w:t xml:space="preserve"> quando possibile</w:t>
      </w:r>
      <w:r w:rsidR="00054861">
        <w:t>,</w:t>
      </w:r>
      <w:r w:rsidR="00364C63">
        <w:t xml:space="preserv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054861">
        <w:rPr>
          <w:rFonts w:cs="Times New Roman"/>
          <w:szCs w:val="24"/>
        </w:rPr>
        <w:t>si rende</w:t>
      </w:r>
      <w:r w:rsidR="00937916">
        <w:rPr>
          <w:rFonts w:cs="Times New Roman"/>
          <w:szCs w:val="24"/>
        </w:rPr>
        <w:t xml:space="preserve"> necessaria </w:t>
      </w:r>
      <w:r>
        <w:rPr>
          <w:rFonts w:cs="Times New Roman"/>
          <w:szCs w:val="24"/>
        </w:rPr>
        <w:t>la presenza dei componenti di alto livello per la realizzazione del gestore di dati personali. Questi sono:</w:t>
      </w:r>
    </w:p>
    <w:p w:rsidR="005A6E41" w:rsidRPr="00F63429" w:rsidRDefault="00054861" w:rsidP="00F63429">
      <w:pPr>
        <w:pStyle w:val="ListParagraph"/>
        <w:numPr>
          <w:ilvl w:val="0"/>
          <w:numId w:val="2"/>
        </w:numPr>
        <w:rPr>
          <w:rFonts w:cs="Times New Roman"/>
          <w:szCs w:val="24"/>
        </w:rPr>
      </w:pPr>
      <w:r>
        <w:rPr>
          <w:rFonts w:cs="Times New Roman"/>
          <w:szCs w:val="24"/>
        </w:rPr>
        <w:t>Un utente finale</w:t>
      </w:r>
      <w:r w:rsidR="005A6E41" w:rsidRPr="00F63429">
        <w:rPr>
          <w:rFonts w:cs="Times New Roman"/>
          <w:szCs w:val="24"/>
        </w:rPr>
        <w:t xml:space="preserve"> che disponga di un account presso l’Operatore </w:t>
      </w:r>
      <w:proofErr w:type="spellStart"/>
      <w:r w:rsidR="005A6E41" w:rsidRPr="00054861">
        <w:rPr>
          <w:rFonts w:cs="Times New Roman"/>
          <w:i/>
          <w:szCs w:val="24"/>
        </w:rPr>
        <w:t>MyData</w:t>
      </w:r>
      <w:proofErr w:type="spellEnd"/>
      <w:r w:rsidR="005A6E41"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054861">
        <w:rPr>
          <w:rFonts w:cs="Times New Roman"/>
          <w:i/>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0" w:name="_Toc466904547"/>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0"/>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diversi </w:t>
      </w:r>
      <w:r w:rsidR="00054861">
        <w:rPr>
          <w:rFonts w:cs="Times New Roman"/>
          <w:szCs w:val="24"/>
        </w:rPr>
        <w:t xml:space="preserve">tipi </w:t>
      </w:r>
      <w:r w:rsidR="00411B9E">
        <w:rPr>
          <w:rFonts w:cs="Times New Roman"/>
          <w:szCs w:val="24"/>
        </w:rPr>
        <w:t>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sidRPr="00054861">
        <w:rPr>
          <w:rFonts w:cs="Times New Roman"/>
          <w:i/>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xml:space="preserve">, e </w:t>
      </w:r>
      <w:r w:rsidR="00054861">
        <w:rPr>
          <w:rFonts w:cs="Times New Roman"/>
          <w:szCs w:val="24"/>
        </w:rPr>
        <w:t>costituisce</w:t>
      </w:r>
      <w:r w:rsidRPr="004F0568">
        <w:rPr>
          <w:rFonts w:cs="Times New Roman"/>
          <w:szCs w:val="24"/>
        </w:rPr>
        <w:t xml:space="preserve">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w:t>
      </w:r>
      <w:r w:rsidR="00054861">
        <w:rPr>
          <w:rFonts w:cs="Times New Roman"/>
          <w:szCs w:val="24"/>
        </w:rPr>
        <w:t>N</w:t>
      </w:r>
      <w:r>
        <w:rPr>
          <w:rFonts w:cs="Times New Roman"/>
          <w:szCs w:val="24"/>
        </w:rPr>
        <w:t>el caso considerato,</w:t>
      </w:r>
      <w:r w:rsidR="00054861">
        <w:rPr>
          <w:rFonts w:cs="Times New Roman"/>
          <w:szCs w:val="24"/>
        </w:rPr>
        <w:t xml:space="preserve"> ad esempio,</w:t>
      </w:r>
      <w:r>
        <w:rPr>
          <w:rFonts w:cs="Times New Roman"/>
          <w:szCs w:val="24"/>
        </w:rPr>
        <w:t xml:space="preserve">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sidRPr="00054861">
        <w:rPr>
          <w:rFonts w:cs="Times New Roman"/>
          <w:i/>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cui si è registrato. Inoltre, vi</w:t>
      </w:r>
      <w:r w:rsidR="00054861">
        <w:rPr>
          <w:rFonts w:cs="Times New Roman"/>
          <w:szCs w:val="24"/>
        </w:rPr>
        <w:t>ene</w:t>
      </w:r>
      <w:r>
        <w:rPr>
          <w:rFonts w:cs="Times New Roman"/>
          <w:szCs w:val="24"/>
        </w:rPr>
        <w:t xml:space="preserve"> </w:t>
      </w:r>
      <w:r w:rsidR="00054861">
        <w:rPr>
          <w:rFonts w:cs="Times New Roman"/>
          <w:szCs w:val="24"/>
        </w:rPr>
        <w:t>mantenuto l’elenco</w:t>
      </w:r>
      <w:r w:rsidR="004F0568" w:rsidRPr="004169FE">
        <w:rPr>
          <w:rFonts w:cs="Times New Roman"/>
          <w:szCs w:val="24"/>
        </w:rPr>
        <w:t xml:space="preserve"> di tutti i permessi che l’utente ha </w:t>
      </w:r>
      <w:r w:rsidR="00251910">
        <w:rPr>
          <w:rFonts w:cs="Times New Roman"/>
          <w:szCs w:val="24"/>
        </w:rPr>
        <w:t>generato</w:t>
      </w:r>
      <w:r>
        <w:rPr>
          <w:rFonts w:cs="Times New Roman"/>
          <w:szCs w:val="24"/>
        </w:rPr>
        <w:t xml:space="preserve">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251910">
        <w:rPr>
          <w:rFonts w:cs="Times New Roman"/>
          <w:szCs w:val="24"/>
        </w:rPr>
        <w:t xml:space="preserve"> nel suo lavoro di</w:t>
      </w:r>
      <w:r w:rsidR="00D80CE2">
        <w:rPr>
          <w:rFonts w:cs="Times New Roman"/>
          <w:szCs w:val="24"/>
        </w:rPr>
        <w:t xml:space="preserve">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w:t>
      </w:r>
      <w:r w:rsidR="004A79BD">
        <w:rPr>
          <w:rFonts w:cs="Times New Roman"/>
          <w:szCs w:val="24"/>
        </w:rPr>
        <w:t>All’interno di questo progetto</w:t>
      </w:r>
      <w:r w:rsidR="008C5124">
        <w:rPr>
          <w:rFonts w:cs="Times New Roman"/>
          <w:szCs w:val="24"/>
        </w:rPr>
        <w:t xml:space="preserve">, si </w:t>
      </w:r>
      <w:r w:rsidR="004A79BD">
        <w:rPr>
          <w:rFonts w:cs="Times New Roman"/>
          <w:szCs w:val="24"/>
        </w:rPr>
        <w:t>svilupperà</w:t>
      </w:r>
      <w:r w:rsidR="008C5124">
        <w:rPr>
          <w:rFonts w:cs="Times New Roman"/>
          <w:szCs w:val="24"/>
        </w:rPr>
        <w:t xml:space="preserve"> un esempio di come </w:t>
      </w:r>
      <w:r w:rsidR="004A79BD">
        <w:rPr>
          <w:rFonts w:cs="Times New Roman"/>
          <w:szCs w:val="24"/>
        </w:rPr>
        <w:t>sia</w:t>
      </w:r>
      <w:r w:rsidR="008C5124">
        <w:rPr>
          <w:rFonts w:cs="Times New Roman"/>
          <w:szCs w:val="24"/>
        </w:rPr>
        <w:t xml:space="preserve"> possibile far interagire le due entità, regolando lo scambio di dati in modo quanto più possibile aderente al modello </w:t>
      </w:r>
      <w:proofErr w:type="spellStart"/>
      <w:r w:rsidR="008C5124" w:rsidRPr="00054861">
        <w:rPr>
          <w:rFonts w:cs="Times New Roman"/>
          <w:i/>
          <w:szCs w:val="24"/>
        </w:rPr>
        <w:t>MyData</w:t>
      </w:r>
      <w:proofErr w:type="spellEnd"/>
      <w:r w:rsidR="008C5124">
        <w:rPr>
          <w:rFonts w:cs="Times New Roman"/>
          <w:szCs w:val="24"/>
        </w:rPr>
        <w:t>.</w:t>
      </w:r>
    </w:p>
    <w:p w:rsidR="008C5124" w:rsidRDefault="003F0362" w:rsidP="000C71B7">
      <w:pPr>
        <w:pStyle w:val="Heading2"/>
      </w:pPr>
      <w:bookmarkStart w:id="21" w:name="_Toc466904548"/>
      <w:r>
        <w:t>4.2 Operatore MyData</w:t>
      </w:r>
      <w:bookmarkEnd w:id="21"/>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251910">
        <w:rPr>
          <w:rFonts w:cs="Times New Roman"/>
          <w:i/>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w:t>
      </w:r>
      <w:r w:rsidR="004A79BD">
        <w:rPr>
          <w:rFonts w:cs="Times New Roman"/>
          <w:szCs w:val="24"/>
        </w:rPr>
        <w:t>reciproca</w:t>
      </w:r>
      <w:r w:rsidR="00DB3B6A">
        <w:rPr>
          <w:rFonts w:cs="Times New Roman"/>
          <w:szCs w:val="24"/>
        </w:rPr>
        <w:t xml:space="preserve">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 xml:space="preserve">In questo </w:t>
      </w:r>
      <w:r w:rsidR="004A79BD">
        <w:rPr>
          <w:rFonts w:cs="Times New Roman"/>
          <w:szCs w:val="24"/>
        </w:rPr>
        <w:t>lavoro</w:t>
      </w:r>
      <w:r w:rsidR="0013523F">
        <w:rPr>
          <w:rFonts w:cs="Times New Roman"/>
          <w:szCs w:val="24"/>
        </w:rPr>
        <w:t xml:space="preserve">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2" w:name="_Toc466904549"/>
      <w:r>
        <w:t>4.3 Service Registry</w:t>
      </w:r>
      <w:r w:rsidR="00C5139A">
        <w:t>, Service Linking</w:t>
      </w:r>
      <w:bookmarkEnd w:id="22"/>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 to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3" w:name="_Toc466904550"/>
      <w:bookmarkStart w:id="24" w:name="_Ref466909001"/>
      <w:r>
        <w:t>4.4 Consent</w:t>
      </w:r>
      <w:bookmarkEnd w:id="23"/>
      <w:bookmarkEnd w:id="24"/>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rsidRPr="004A79BD">
        <w:rPr>
          <w:i/>
        </w:rP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w:t>
      </w:r>
      <w:r w:rsidR="00F3671C">
        <w:t>dati</w:t>
      </w:r>
      <w:r w:rsidR="001207A7">
        <w:t xml:space="preserve"> scambiati durante la </w:t>
      </w:r>
      <w:r>
        <w:t>transazione</w:t>
      </w:r>
      <w:r w:rsidR="00F3671C">
        <w:t xml:space="preserve"> (il Resource Set </w:t>
      </w:r>
      <w:proofErr w:type="spellStart"/>
      <w:r w:rsidR="00F3671C">
        <w:t>Identifier</w:t>
      </w:r>
      <w:proofErr w:type="spellEnd"/>
      <w:r w:rsidR="00F3671C">
        <w:t xml:space="preserve"> delle specifiche di </w:t>
      </w:r>
      <w:proofErr w:type="spellStart"/>
      <w:r w:rsidR="00F3671C">
        <w:t>MyData</w:t>
      </w:r>
      <w:proofErr w:type="spellEnd"/>
      <w:r w:rsidR="00F3671C">
        <w:t>); i</w:t>
      </w:r>
      <w:r>
        <w:t xml:space="preserve">noltre, </w:t>
      </w:r>
      <w:r w:rsidR="001207A7">
        <w:t>può e</w:t>
      </w:r>
      <w:r w:rsidR="004A79BD">
        <w:t>ssere utilizzato una volta sola</w:t>
      </w:r>
      <w:r w:rsidR="001207A7">
        <w:t xml:space="preserve"> ed è possibile ottenerlo solo se il permesso che lega l’utente ed il servizio corrente ha stato attivo.</w:t>
      </w:r>
    </w:p>
    <w:p w:rsidR="001207A7"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0807A8" w:rsidRDefault="000807A8" w:rsidP="000807A8">
      <w:pPr>
        <w:pStyle w:val="Heading3"/>
      </w:pPr>
      <w:r>
        <w:t xml:space="preserve">Granularità di un </w:t>
      </w:r>
      <w:proofErr w:type="spellStart"/>
      <w:r>
        <w:t>Consent</w:t>
      </w:r>
      <w:proofErr w:type="spellEnd"/>
    </w:p>
    <w:p w:rsidR="000807A8" w:rsidRDefault="002629AF" w:rsidP="000807A8">
      <w:r>
        <w:t xml:space="preserve">Un aspetto importante da considerare in Analisi è la granularità con cui i </w:t>
      </w:r>
      <w:proofErr w:type="spellStart"/>
      <w:r>
        <w:t>Consent</w:t>
      </w:r>
      <w:proofErr w:type="spellEnd"/>
      <w:r>
        <w:t xml:space="preserve"> permettono l’accesso ai dati. </w:t>
      </w:r>
    </w:p>
    <w:p w:rsidR="002629AF" w:rsidRDefault="002629AF" w:rsidP="000807A8">
      <w:r>
        <w:lastRenderedPageBreak/>
        <w:t xml:space="preserve">All’interno delle specifiche di </w:t>
      </w:r>
      <w:proofErr w:type="spellStart"/>
      <w:r>
        <w:t>MyData</w:t>
      </w:r>
      <w:proofErr w:type="spellEnd"/>
      <w:r>
        <w:t xml:space="preserve"> non si trovano linee guida precise riguardo questo aspetto, mentre vengono espresse delle considerazioni riguardo la frequenza di accesso ai dati e la quantità di dati prelevati. L’interesse in questo senso è motivato dalla volontà di proteggere la privacy dell’utente, che pot</w:t>
      </w:r>
      <w:r w:rsidR="00504333">
        <w:t>r</w:t>
      </w:r>
      <w:r>
        <w:t>ebbe essere messa a rischio nel caso un servizio effettuasse un gran numero di richieste legittime per ottenere dati personali sempre diversi. All’interno dello sviluppo del gestore di dati personali si è scelto di privilegiare l’aspetto del controllo degli accessi, piuttosto che rispondere a quanto puntualizzato</w:t>
      </w:r>
      <w:r w:rsidR="00504333">
        <w:t xml:space="preserve"> in altre implementazioni \</w:t>
      </w:r>
      <w:proofErr w:type="spellStart"/>
      <w:r w:rsidR="00504333">
        <w:t>cite</w:t>
      </w:r>
      <w:proofErr w:type="spellEnd"/>
      <w:r w:rsidR="00504333">
        <w:t xml:space="preserve"> </w:t>
      </w:r>
      <w:proofErr w:type="spellStart"/>
      <w:r w:rsidR="00504333">
        <w:t>mobility</w:t>
      </w:r>
      <w:proofErr w:type="spellEnd"/>
      <w:r w:rsidR="00504333">
        <w:t xml:space="preserve"> </w:t>
      </w:r>
      <w:proofErr w:type="spellStart"/>
      <w:r w:rsidR="00504333">
        <w:t>profile</w:t>
      </w:r>
      <w:proofErr w:type="spellEnd"/>
      <w:r w:rsidR="00504333">
        <w:t>.</w:t>
      </w:r>
    </w:p>
    <w:p w:rsidR="008856FC" w:rsidRDefault="00504333" w:rsidP="000807A8">
      <w:r>
        <w:t>In una prima ipotesi, ho preso in considerazione la possibilità di garantire l’accesso ai dati in base a criteri che comprendono la loro tipologia, la quantità di dati richiesta e la loro “età”</w:t>
      </w:r>
      <w:r w:rsidR="008856FC">
        <w:t>. L’implementazione di questa scelta avrebbe previsto, a grandi linee, l’utilizzo di un database per la gestione di dati con un gran numero di proprietà (come ad esempio la data di acquisizione sopra citata). Poiché tale soluzione avrebbe richiesto notevole impegno ed avrebbe sconfinato all’esterno dell’ambito della tesi, questa possibilità è stata scartata.</w:t>
      </w:r>
    </w:p>
    <w:p w:rsidR="008856FC" w:rsidRPr="000807A8" w:rsidRDefault="008856FC" w:rsidP="000807A8">
      <w:r>
        <w:t>Co</w:t>
      </w:r>
      <w:r w:rsidR="00F3671C">
        <w:t xml:space="preserve">me seconda opzione, sulla scia del </w:t>
      </w:r>
      <w:proofErr w:type="spellStart"/>
      <w:r w:rsidR="00F3671C">
        <w:t>Mobility</w:t>
      </w:r>
      <w:proofErr w:type="spellEnd"/>
      <w:r w:rsidR="00F3671C">
        <w:t xml:space="preserve"> </w:t>
      </w:r>
      <w:proofErr w:type="spellStart"/>
      <w:r w:rsidR="00F3671C">
        <w:t>Profile</w:t>
      </w:r>
      <w:proofErr w:type="spellEnd"/>
      <w:r w:rsidR="00F3671C">
        <w:t xml:space="preserve"> e della gestione delle autorizzazioni in Android, si è optato per il seguente compromesso: la granularità per il controllo degli accessi viene imposta a livello di tipi di dato di alto livello, come ad esempio Calendario, storico delle posizioni GPS, ecc. Per questo motivo, si è scelto di sostituire al generico identificatore di un set di risorse sopra menzionato un insieme di specifici tipi di dato</w:t>
      </w:r>
      <w:r w:rsidR="000A0BA4">
        <w:t>, al fine di poter implementare un adeguato controllo degli accessi.</w:t>
      </w:r>
    </w:p>
    <w:p w:rsidR="004169FE" w:rsidRDefault="001812C3" w:rsidP="007F52C5">
      <w:pPr>
        <w:pStyle w:val="Heading2"/>
      </w:pPr>
      <w:bookmarkStart w:id="25" w:name="_Toc466904551"/>
      <w:r>
        <w:t>4.5</w:t>
      </w:r>
      <w:r w:rsidR="007F52C5">
        <w:t xml:space="preserve"> Personal Data Storage</w:t>
      </w:r>
      <w:bookmarkEnd w:id="25"/>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w:t>
      </w:r>
      <w:r w:rsidR="00EE7513">
        <w:t>evento</w:t>
      </w:r>
      <w:r w:rsidR="001F2095">
        <w:t xml:space="preserve">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 xml:space="preserve">’utilizzo di un particolare tipo di calendario, impedendo successive modifiche o </w:t>
      </w:r>
      <w:r w:rsidR="001F2095">
        <w:lastRenderedPageBreak/>
        <w:t>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6" w:name="_Toc466904552"/>
      <w:r>
        <w:t>4.6 Rappresentazione di dati non noti a priori</w:t>
      </w:r>
      <w:bookmarkEnd w:id="26"/>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al momento dell’iscrizione del servizio presso </w:t>
      </w:r>
      <w:proofErr w:type="spellStart"/>
      <w:r w:rsidRPr="00EE7513">
        <w:rPr>
          <w:rFonts w:cs="Times New Roman"/>
          <w:i/>
          <w:szCs w:val="24"/>
        </w:rPr>
        <w:t>MyData</w:t>
      </w:r>
      <w:proofErr w:type="spellEnd"/>
      <w:r w:rsidR="00EE7513">
        <w:rPr>
          <w:rFonts w:cs="Times New Roman"/>
          <w:szCs w:val="24"/>
        </w:rPr>
        <w:t xml:space="preserve"> e</w:t>
      </w:r>
      <w:r>
        <w:rPr>
          <w:rFonts w:cs="Times New Roman"/>
          <w:szCs w:val="24"/>
        </w:rPr>
        <w:t xml:space="preserve"> il Personal Data Storage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sidRPr="00EE7513">
        <w:rPr>
          <w:rFonts w:cs="Times New Roman"/>
          <w:i/>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sidRPr="00EE7513">
        <w:rPr>
          <w:rFonts w:cs="Times New Roman"/>
          <w:i/>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lastRenderedPageBreak/>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w:t>
      </w:r>
      <w:r w:rsidR="00EE7513">
        <w:rPr>
          <w:rFonts w:cs="Times New Roman"/>
        </w:rPr>
        <w:t>considerato</w:t>
      </w:r>
      <w:r>
        <w:rPr>
          <w:rFonts w:cs="Times New Roman"/>
        </w:rPr>
        <w:t xml:space="preserv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27" w:name="_Toc466904553"/>
      <w:r>
        <w:lastRenderedPageBreak/>
        <w:t>5 Progettazione</w:t>
      </w:r>
      <w:bookmarkEnd w:id="27"/>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383011">
      <w:pPr>
        <w:pStyle w:val="Heading2"/>
      </w:pPr>
      <w:bookmarkStart w:id="28" w:name="_Toc466904554"/>
      <w:r>
        <w:t>5.1 Flusso del programma</w:t>
      </w:r>
      <w:bookmarkEnd w:id="28"/>
    </w:p>
    <w:p w:rsidR="00383011" w:rsidRPr="00383011" w:rsidRDefault="001A5A64" w:rsidP="00383011">
      <w:r>
        <w:t>//inserire grafico in latex</w:t>
      </w:r>
    </w:p>
    <w:p w:rsidR="00C23B18" w:rsidRDefault="00383011" w:rsidP="00BA2D16">
      <w:pPr>
        <w:pStyle w:val="Heading2"/>
      </w:pPr>
      <w:bookmarkStart w:id="29" w:name="_Toc466904555"/>
      <w:r>
        <w:t>5.2 Accounting</w:t>
      </w:r>
      <w:bookmarkEnd w:id="29"/>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fldSimple w:instr=" SEQ Figura \* ARABIC ">
        <w:r w:rsidR="00A30E21">
          <w:rPr>
            <w:noProof/>
          </w:rPr>
          <w:t>1</w:t>
        </w:r>
      </w:fldSimple>
    </w:p>
    <w:p w:rsidR="00C23B18" w:rsidRDefault="00C23B18" w:rsidP="00BA2D16">
      <w:r>
        <w:t xml:space="preserve">Al centro è collocata la classe corrispondente all’utente </w:t>
      </w:r>
      <w:proofErr w:type="spellStart"/>
      <w:r>
        <w:t>MyData</w:t>
      </w:r>
      <w:proofErr w:type="spellEnd"/>
      <w:r>
        <w:t>, che, confermando quanto detto in Analisi, è colleg</w:t>
      </w:r>
      <w:r w:rsidR="00CD4D88">
        <w:t>ata agli account dei servizi, e</w:t>
      </w:r>
      <w:r>
        <w:t xml:space="preserve">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per soddisfare i requisiti di sicurezza relativi alla mutua autenticazione fra utente e servizio. Si è deciso di sviluppare separatamente questa classe per un principio di </w:t>
      </w:r>
      <w:r>
        <w:lastRenderedPageBreak/>
        <w:t>separazione delle responsabilità, e per permettere una più semplice estendibilità in caso di sviluppi futuri.</w:t>
      </w:r>
    </w:p>
    <w:p w:rsidR="00C23B18" w:rsidRDefault="00C23B18" w:rsidP="00C23B18">
      <w:pPr>
        <w:pStyle w:val="Heading3"/>
      </w:pPr>
      <w:bookmarkStart w:id="30" w:name="_Toc466904556"/>
      <w:r>
        <w:t xml:space="preserve">5.2.1 </w:t>
      </w:r>
      <w:proofErr w:type="spellStart"/>
      <w:r>
        <w:t>IUser</w:t>
      </w:r>
      <w:proofErr w:type="spellEnd"/>
      <w:r>
        <w:t xml:space="preserve">, </w:t>
      </w:r>
      <w:proofErr w:type="spellStart"/>
      <w:r>
        <w:t>MyDataUser</w:t>
      </w:r>
      <w:bookmarkEnd w:id="30"/>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rPr>
          <w:noProof/>
        </w:rPr>
      </w:pPr>
      <w:r>
        <w:t xml:space="preserve">Figura </w:t>
      </w:r>
      <w:fldSimple w:instr=" SEQ Figura \* ARABIC ">
        <w:r w:rsidR="00A30E21">
          <w:rPr>
            <w:noProof/>
          </w:rPr>
          <w:t>2</w:t>
        </w:r>
      </w:fldSimple>
    </w:p>
    <w:p w:rsidR="00CD4D88" w:rsidRDefault="00CD4D88" w:rsidP="00CD4D88">
      <w:r>
        <w:t xml:space="preserve">Questa classe modella un generico utente dell’architettura </w:t>
      </w:r>
      <w:proofErr w:type="spellStart"/>
      <w:r>
        <w:t>MyData</w:t>
      </w:r>
      <w:proofErr w:type="spellEnd"/>
      <w:r>
        <w:t xml:space="preserve">. I </w:t>
      </w:r>
      <w:proofErr w:type="spellStart"/>
      <w:r>
        <w:t>field</w:t>
      </w:r>
      <w:proofErr w:type="spellEnd"/>
      <w:r>
        <w:t xml:space="preserve"> al suo interno sono un esempio delle caratteristiche che si è scelto di modellare, e fra di essi i più rilevanti sono indirizzo email e password, in quanto permettono il login per utenti già registrati. L’indirizzo mail è stato adottato inoltre come identificatore unico di un utente all’interno di </w:t>
      </w:r>
      <w:proofErr w:type="spellStart"/>
      <w:r>
        <w:t>MyData</w:t>
      </w:r>
      <w:proofErr w:type="spellEnd"/>
      <w:r w:rsidR="00832E0D">
        <w:t>, e questa caratteristica è stata implementata mediante l’</w:t>
      </w:r>
      <w:proofErr w:type="spellStart"/>
      <w:r w:rsidR="00832E0D">
        <w:t>override</w:t>
      </w:r>
      <w:proofErr w:type="spellEnd"/>
      <w:r w:rsidR="00832E0D">
        <w:t xml:space="preserve"> della funzione </w:t>
      </w:r>
      <w:proofErr w:type="spellStart"/>
      <w:r w:rsidR="00832E0D" w:rsidRPr="00832E0D">
        <w:rPr>
          <w:rFonts w:ascii="Courier New" w:hAnsi="Courier New" w:cs="Courier New"/>
        </w:rPr>
        <w:t>equals</w:t>
      </w:r>
      <w:proofErr w:type="spellEnd"/>
      <w:r w:rsidR="00832E0D" w:rsidRPr="00832E0D">
        <w:rPr>
          <w:rFonts w:ascii="Courier New" w:hAnsi="Courier New" w:cs="Courier New"/>
        </w:rPr>
        <w:t xml:space="preserve">(Object </w:t>
      </w:r>
      <w:proofErr w:type="spellStart"/>
      <w:r w:rsidR="00832E0D" w:rsidRPr="00832E0D">
        <w:rPr>
          <w:rFonts w:ascii="Courier New" w:hAnsi="Courier New" w:cs="Courier New"/>
        </w:rPr>
        <w:t>obj</w:t>
      </w:r>
      <w:proofErr w:type="spellEnd"/>
      <w:r w:rsidR="00832E0D" w:rsidRPr="00832E0D">
        <w:rPr>
          <w:rFonts w:ascii="Courier New" w:hAnsi="Courier New" w:cs="Courier New"/>
        </w:rPr>
        <w:t>)</w:t>
      </w:r>
      <w:r>
        <w:t>.</w:t>
      </w:r>
    </w:p>
    <w:p w:rsidR="00CD4D88" w:rsidRDefault="00CD4D88" w:rsidP="00CD4D88">
      <w:pPr>
        <w:rPr>
          <w:rFonts w:cs="Times New Roman"/>
        </w:rPr>
      </w:pPr>
      <w:r>
        <w:t xml:space="preserve">Si evidenzia inoltre la presenza di un </w:t>
      </w:r>
      <w:r>
        <w:rPr>
          <w:rFonts w:ascii="Courier New" w:hAnsi="Courier New" w:cs="Courier New"/>
        </w:rPr>
        <w:t>Set&lt;</w:t>
      </w:r>
      <w:proofErr w:type="spellStart"/>
      <w:r>
        <w:rPr>
          <w:rFonts w:ascii="Courier New" w:hAnsi="Courier New" w:cs="Courier New"/>
        </w:rPr>
        <w:t>IAccount</w:t>
      </w:r>
      <w:proofErr w:type="spellEnd"/>
      <w:r>
        <w:rPr>
          <w:rFonts w:ascii="Courier New" w:hAnsi="Courier New" w:cs="Courier New"/>
        </w:rPr>
        <w:t>&gt; accounts</w:t>
      </w:r>
      <w:r>
        <w:rPr>
          <w:rFonts w:cs="Times New Roman"/>
        </w:rPr>
        <w:t>, che realizza l’associazione fra un utente e gli account presso i servizi a cui si è registrato. La scelta di un Set permette di implementare il vincolo secondo cui ogni utente può avere un solo accoun</w:t>
      </w:r>
      <w:r w:rsidR="00362547">
        <w:rPr>
          <w:rFonts w:cs="Times New Roman"/>
        </w:rPr>
        <w:t>t presso un certo servizio, ed è adatta anche in quanto non è necessario mantenere un insieme ordinato di account.</w:t>
      </w:r>
    </w:p>
    <w:p w:rsidR="00832E0D" w:rsidRPr="00832E0D" w:rsidRDefault="00362547" w:rsidP="00CD4D88">
      <w:pPr>
        <w:rPr>
          <w:rFonts w:cs="Times New Roman"/>
        </w:rPr>
      </w:pPr>
      <w:r>
        <w:rPr>
          <w:rFonts w:cs="Times New Roman"/>
        </w:rPr>
        <w:t xml:space="preserve">Questa classe ha inoltre la funzione di interfacciare gli altri componenti del gestore, compresa la GUI, con gli account utente. A tal fine, presenta i metodi </w:t>
      </w:r>
      <w:proofErr w:type="spellStart"/>
      <w:r>
        <w:rPr>
          <w:rFonts w:ascii="Courier New" w:hAnsi="Courier New" w:cs="Courier New"/>
        </w:rPr>
        <w:t>addServiceConsent</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Pr>
          <w:rFonts w:cs="Times New Roman"/>
        </w:rPr>
        <w:t xml:space="preserve">, </w:t>
      </w:r>
      <w:proofErr w:type="spellStart"/>
      <w:r>
        <w:rPr>
          <w:rFonts w:ascii="Courier New" w:hAnsi="Courier New" w:cs="Courier New"/>
        </w:rPr>
        <w:t>addDataConsent</w:t>
      </w:r>
      <w:proofErr w:type="spellEnd"/>
      <w:r>
        <w:rPr>
          <w:rFonts w:ascii="Courier New" w:hAnsi="Courier New" w:cs="Courier New"/>
        </w:rPr>
        <w:t>(</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IService</w:t>
      </w:r>
      <w:proofErr w:type="spellEnd"/>
      <w:r>
        <w:rPr>
          <w:rFonts w:ascii="Courier New" w:hAnsi="Courier New" w:cs="Courier New"/>
        </w:rPr>
        <w:t xml:space="preserve"> service), </w:t>
      </w:r>
      <w:proofErr w:type="spellStart"/>
      <w:r>
        <w:rPr>
          <w:rFonts w:ascii="Courier New" w:hAnsi="Courier New" w:cs="Courier New"/>
        </w:rPr>
        <w:t>hasAccountAtService</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sidRPr="00362547">
        <w:rPr>
          <w:rFonts w:cs="Times New Roman"/>
        </w:rPr>
        <w:t>.</w:t>
      </w:r>
      <w:r>
        <w:rPr>
          <w:rFonts w:cs="Times New Roman"/>
        </w:rPr>
        <w:t xml:space="preserve">  La classe </w:t>
      </w:r>
      <w:r w:rsidRPr="00362547">
        <w:rPr>
          <w:rFonts w:ascii="Courier New" w:hAnsi="Courier New" w:cs="Courier New"/>
        </w:rPr>
        <w:t>Account</w:t>
      </w:r>
      <w:r>
        <w:rPr>
          <w:rFonts w:cs="Times New Roman"/>
        </w:rPr>
        <w:t xml:space="preserve"> è stata infatti modellata con visibilità package </w:t>
      </w:r>
      <w:proofErr w:type="spellStart"/>
      <w:r>
        <w:rPr>
          <w:rFonts w:cs="Times New Roman"/>
        </w:rPr>
        <w:t>protected</w:t>
      </w:r>
      <w:proofErr w:type="spellEnd"/>
      <w:r>
        <w:rPr>
          <w:rFonts w:cs="Times New Roman"/>
        </w:rPr>
        <w:t xml:space="preserve">, per impedire l’accesso a classi esterne al package </w:t>
      </w:r>
      <w:r w:rsidRPr="00362547">
        <w:rPr>
          <w:rFonts w:ascii="Courier New" w:hAnsi="Courier New" w:cs="Courier New"/>
        </w:rPr>
        <w:t>users</w:t>
      </w:r>
      <w:r w:rsidR="00832E0D">
        <w:rPr>
          <w:rFonts w:cs="Times New Roman"/>
        </w:rPr>
        <w:t xml:space="preserve">: di conseguenza, anche la creazione di nuovi account avviene attraverso questa classe, in particolare nella funzione </w:t>
      </w:r>
      <w:proofErr w:type="spellStart"/>
      <w:r w:rsidR="00832E0D" w:rsidRPr="00832E0D">
        <w:rPr>
          <w:rFonts w:ascii="Courier New" w:hAnsi="Courier New" w:cs="Courier New"/>
        </w:rPr>
        <w:lastRenderedPageBreak/>
        <w:t>newAccountAtService</w:t>
      </w:r>
      <w:proofErr w:type="spellEnd"/>
      <w:r w:rsidR="00832E0D" w:rsidRPr="00832E0D">
        <w:rPr>
          <w:rFonts w:ascii="Courier New" w:hAnsi="Courier New" w:cs="Courier New"/>
        </w:rPr>
        <w:t>(</w:t>
      </w:r>
      <w:proofErr w:type="spellStart"/>
      <w:r w:rsidR="00832E0D" w:rsidRPr="00832E0D">
        <w:rPr>
          <w:rFonts w:ascii="Courier New" w:hAnsi="Courier New" w:cs="Courier New"/>
        </w:rPr>
        <w:t>IService</w:t>
      </w:r>
      <w:proofErr w:type="spellEnd"/>
      <w:r w:rsidR="00832E0D" w:rsidRPr="00832E0D">
        <w:rPr>
          <w:rFonts w:ascii="Courier New" w:hAnsi="Courier New" w:cs="Courier New"/>
        </w:rPr>
        <w:t xml:space="preserve"> service)</w:t>
      </w:r>
      <w:r w:rsidR="00832E0D">
        <w:rPr>
          <w:rFonts w:cs="Times New Roman"/>
        </w:rPr>
        <w:t>. All’interno del metodo troviamo l’</w:t>
      </w:r>
      <w:proofErr w:type="spellStart"/>
      <w:r w:rsidR="00832E0D">
        <w:rPr>
          <w:rFonts w:cs="Times New Roman"/>
        </w:rPr>
        <w:t>istanziazione</w:t>
      </w:r>
      <w:proofErr w:type="spellEnd"/>
      <w:r w:rsidR="00832E0D">
        <w:rPr>
          <w:rFonts w:cs="Times New Roman"/>
        </w:rPr>
        <w:t xml:space="preserve"> di un nuovo account, insieme ad una chiamata alla classe </w:t>
      </w:r>
      <w:proofErr w:type="spellStart"/>
      <w:r w:rsidR="00832E0D" w:rsidRPr="00832E0D">
        <w:rPr>
          <w:rFonts w:ascii="Courier New" w:hAnsi="Courier New" w:cs="Courier New"/>
        </w:rPr>
        <w:t>ConsentManager</w:t>
      </w:r>
      <w:proofErr w:type="spellEnd"/>
      <w:r w:rsidR="00832E0D">
        <w:rPr>
          <w:rFonts w:cs="Times New Roman"/>
        </w:rPr>
        <w:t xml:space="preserve">, che realizza quanto anticipato al paragrafo </w:t>
      </w:r>
      <w:r w:rsidR="00832E0D">
        <w:rPr>
          <w:rFonts w:cs="Times New Roman"/>
        </w:rPr>
        <w:fldChar w:fldCharType="begin"/>
      </w:r>
      <w:r w:rsidR="00832E0D">
        <w:rPr>
          <w:rFonts w:cs="Times New Roman"/>
        </w:rPr>
        <w:instrText xml:space="preserve"> REF _Ref466909001 \h </w:instrText>
      </w:r>
      <w:r w:rsidR="00832E0D">
        <w:rPr>
          <w:rFonts w:cs="Times New Roman"/>
        </w:rPr>
      </w:r>
      <w:r w:rsidR="00832E0D">
        <w:rPr>
          <w:rFonts w:cs="Times New Roman"/>
        </w:rPr>
        <w:fldChar w:fldCharType="separate"/>
      </w:r>
      <w:r w:rsidR="00832E0D">
        <w:t xml:space="preserve">4.4 </w:t>
      </w:r>
      <w:proofErr w:type="spellStart"/>
      <w:r w:rsidR="00832E0D">
        <w:t>Consent</w:t>
      </w:r>
      <w:proofErr w:type="spellEnd"/>
      <w:r w:rsidR="00832E0D">
        <w:rPr>
          <w:rFonts w:cs="Times New Roman"/>
        </w:rPr>
        <w:fldChar w:fldCharType="end"/>
      </w:r>
      <w:r w:rsidR="00832E0D">
        <w:rPr>
          <w:rFonts w:cs="Times New Roman"/>
        </w:rPr>
        <w:t xml:space="preserve">. In questo modo si realizza un esempio di </w:t>
      </w:r>
      <w:r w:rsidR="00832E0D">
        <w:rPr>
          <w:rFonts w:cs="Times New Roman"/>
          <w:i/>
        </w:rPr>
        <w:t xml:space="preserve">Service </w:t>
      </w:r>
      <w:proofErr w:type="spellStart"/>
      <w:r w:rsidR="00832E0D">
        <w:rPr>
          <w:rFonts w:cs="Times New Roman"/>
          <w:i/>
        </w:rPr>
        <w:t>Linking</w:t>
      </w:r>
      <w:proofErr w:type="spellEnd"/>
      <w:r w:rsidR="00832E0D">
        <w:rPr>
          <w:rFonts w:cs="Times New Roman"/>
        </w:rPr>
        <w:t xml:space="preserve">, e l’esito di questa operazione viene concretizzato in un oggetto </w:t>
      </w:r>
      <w:proofErr w:type="spellStart"/>
      <w:r w:rsidR="00832E0D" w:rsidRPr="00832E0D">
        <w:rPr>
          <w:rFonts w:ascii="Courier New" w:hAnsi="Courier New" w:cs="Courier New"/>
        </w:rPr>
        <w:t>ServiceConsent</w:t>
      </w:r>
      <w:proofErr w:type="spellEnd"/>
      <w:r w:rsidR="00832E0D">
        <w:rPr>
          <w:rFonts w:cs="Times New Roman"/>
        </w:rPr>
        <w:t xml:space="preserve">. Si rimandano però ulteriori dettagli a quanto spiegato nella sezione </w:t>
      </w:r>
      <w:r w:rsidR="00832E0D">
        <w:rPr>
          <w:rFonts w:cs="Times New Roman"/>
        </w:rPr>
        <w:fldChar w:fldCharType="begin"/>
      </w:r>
      <w:r w:rsidR="00832E0D">
        <w:rPr>
          <w:rFonts w:cs="Times New Roman"/>
        </w:rPr>
        <w:instrText xml:space="preserve"> REF _Ref466909302 \h </w:instrText>
      </w:r>
      <w:r w:rsidR="00832E0D">
        <w:rPr>
          <w:rFonts w:cs="Times New Roman"/>
        </w:rPr>
      </w:r>
      <w:r w:rsidR="00832E0D">
        <w:rPr>
          <w:rFonts w:cs="Times New Roman"/>
        </w:rPr>
        <w:fldChar w:fldCharType="separate"/>
      </w:r>
      <w:r w:rsidR="00832E0D">
        <w:t xml:space="preserve">5.6 Autorizzazioni e </w:t>
      </w:r>
      <w:proofErr w:type="spellStart"/>
      <w:r w:rsidR="00832E0D">
        <w:t>Consent</w:t>
      </w:r>
      <w:proofErr w:type="spellEnd"/>
      <w:r w:rsidR="00832E0D">
        <w:rPr>
          <w:rFonts w:cs="Times New Roman"/>
        </w:rPr>
        <w:fldChar w:fldCharType="end"/>
      </w:r>
      <w:r w:rsidR="00832E0D">
        <w:rPr>
          <w:rFonts w:cs="Times New Roman"/>
        </w:rPr>
        <w:t>.</w:t>
      </w:r>
    </w:p>
    <w:p w:rsidR="009F0182" w:rsidRDefault="00371985" w:rsidP="00371985">
      <w:pPr>
        <w:pStyle w:val="Heading3"/>
      </w:pPr>
      <w:bookmarkStart w:id="31" w:name="_Toc466904557"/>
      <w:r>
        <w:t xml:space="preserve">5.2.2 </w:t>
      </w:r>
      <w:proofErr w:type="spellStart"/>
      <w:r>
        <w:t>IAccount</w:t>
      </w:r>
      <w:proofErr w:type="spellEnd"/>
      <w:r>
        <w:t>, Account</w:t>
      </w:r>
      <w:bookmarkEnd w:id="31"/>
    </w:p>
    <w:p w:rsidR="00371985" w:rsidRDefault="00371985" w:rsidP="00371985">
      <w:pPr>
        <w:keepNext/>
        <w:jc w:val="center"/>
      </w:pPr>
      <w:r>
        <w:rPr>
          <w:noProof/>
        </w:rPr>
        <w:drawing>
          <wp:inline distT="0" distB="0" distL="0" distR="0">
            <wp:extent cx="5256530" cy="2155397"/>
            <wp:effectExtent l="0" t="0" r="1270" b="0"/>
            <wp:docPr id="1" name="Picture 1" descr="C:\Users\Giada\AppData\Local\Microsoft\Windows\INetCacheContent.Word\Accoun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da\AppData\Local\Microsoft\Windows\INetCacheContent.Word\Accounting-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30" cy="2155397"/>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3</w:t>
        </w:r>
      </w:fldSimple>
    </w:p>
    <w:p w:rsidR="003D4235" w:rsidRDefault="003D4235" w:rsidP="003D4235">
      <w:r>
        <w:t xml:space="preserve">La classe </w:t>
      </w:r>
      <w:r w:rsidRPr="003D4235">
        <w:rPr>
          <w:rFonts w:ascii="Courier New" w:hAnsi="Courier New" w:cs="Courier New"/>
        </w:rPr>
        <w:t>Account</w:t>
      </w:r>
      <w:r>
        <w:t xml:space="preserve"> è abbastanza semplice, poiché si occupa semplicemente di implementare la logica di basso livello nelle operazioni di gestione degli account.</w:t>
      </w:r>
    </w:p>
    <w:p w:rsidR="003D4235" w:rsidRDefault="003D4235" w:rsidP="003D4235">
      <w:r>
        <w:t xml:space="preserve">Fra queste vi sono i controlli sullo stato dei </w:t>
      </w:r>
      <w:proofErr w:type="spellStart"/>
      <w:r>
        <w:t>Consent</w:t>
      </w:r>
      <w:proofErr w:type="spellEnd"/>
      <w:r>
        <w:t xml:space="preserve"> memorizzati, la gestione dello storico di tutti i </w:t>
      </w:r>
      <w:proofErr w:type="spellStart"/>
      <w:r>
        <w:t>Consent</w:t>
      </w:r>
      <w:proofErr w:type="spellEnd"/>
      <w:r>
        <w:t xml:space="preserve"> emessi per quel servizio </w:t>
      </w:r>
      <w:r w:rsidRPr="003D4235">
        <w:rPr>
          <w:rFonts w:ascii="Courier New" w:hAnsi="Courier New" w:cs="Courier New"/>
        </w:rPr>
        <w:t>service</w:t>
      </w:r>
      <w:r>
        <w:t xml:space="preserve">, o ancora il </w:t>
      </w:r>
      <w:proofErr w:type="spellStart"/>
      <w:r>
        <w:t>matching</w:t>
      </w:r>
      <w:proofErr w:type="spellEnd"/>
      <w:r>
        <w:t xml:space="preserve"> fra i due tipi di </w:t>
      </w:r>
      <w:proofErr w:type="spellStart"/>
      <w:r>
        <w:t>Consent</w:t>
      </w:r>
      <w:proofErr w:type="spellEnd"/>
      <w:r>
        <w:t xml:space="preserve"> (</w:t>
      </w:r>
      <w:proofErr w:type="spellStart"/>
      <w:r w:rsidRPr="003D4235">
        <w:rPr>
          <w:rFonts w:ascii="Courier New" w:hAnsi="Courier New" w:cs="Courier New"/>
        </w:rPr>
        <w:t>ServiceConsent</w:t>
      </w:r>
      <w:proofErr w:type="spellEnd"/>
      <w:r>
        <w:t xml:space="preserve">, </w:t>
      </w:r>
      <w:proofErr w:type="spellStart"/>
      <w:r w:rsidRPr="003D4235">
        <w:rPr>
          <w:rFonts w:ascii="Courier New" w:hAnsi="Courier New" w:cs="Courier New"/>
        </w:rPr>
        <w:t>DataConsent</w:t>
      </w:r>
      <w:proofErr w:type="spellEnd"/>
      <w:r>
        <w:t xml:space="preserve">, dettagliati al paragrafo </w:t>
      </w:r>
      <w:r>
        <w:fldChar w:fldCharType="begin"/>
      </w:r>
      <w:r>
        <w:instrText xml:space="preserve"> REF _Ref466909682 \h </w:instrText>
      </w:r>
      <w:r>
        <w:fldChar w:fldCharType="separate"/>
      </w:r>
      <w:r>
        <w:t xml:space="preserve">5.6.2 </w:t>
      </w:r>
      <w:proofErr w:type="spellStart"/>
      <w:r>
        <w:t>ServiceConsent</w:t>
      </w:r>
      <w:proofErr w:type="spellEnd"/>
      <w:r>
        <w:t xml:space="preserve">, </w:t>
      </w:r>
      <w:proofErr w:type="spellStart"/>
      <w:r>
        <w:t>DataConsent</w:t>
      </w:r>
      <w:proofErr w:type="spellEnd"/>
      <w:r>
        <w:fldChar w:fldCharType="end"/>
      </w:r>
      <w:r>
        <w:t>).</w:t>
      </w:r>
    </w:p>
    <w:p w:rsidR="003D4235" w:rsidRDefault="003D4235" w:rsidP="003D4235">
      <w:r>
        <w:t xml:space="preserve">La memorizzazione dei </w:t>
      </w:r>
      <w:proofErr w:type="spellStart"/>
      <w:r>
        <w:t>Consent</w:t>
      </w:r>
      <w:proofErr w:type="spellEnd"/>
      <w:r>
        <w:t xml:space="preserve"> all’interno della classe è stata ottenuta mediante l’utilizzo combinato delle strutture dati </w:t>
      </w:r>
      <w:proofErr w:type="spellStart"/>
      <w:r w:rsidRPr="002569D5">
        <w:rPr>
          <w:rFonts w:ascii="Courier New" w:hAnsi="Courier New" w:cs="Courier New"/>
        </w:rPr>
        <w:t>Map</w:t>
      </w:r>
      <w:proofErr w:type="spellEnd"/>
      <w:r w:rsidRPr="002569D5">
        <w:rPr>
          <w:rFonts w:ascii="Courier New" w:hAnsi="Courier New" w:cs="Courier New"/>
        </w:rPr>
        <w:t>&lt;</w:t>
      </w:r>
      <w:proofErr w:type="spellStart"/>
      <w:r w:rsidRPr="002569D5">
        <w:rPr>
          <w:rFonts w:ascii="Courier New" w:hAnsi="Courier New" w:cs="Courier New"/>
        </w:rPr>
        <w:t>ServiceConsent</w:t>
      </w:r>
      <w:proofErr w:type="spellEnd"/>
      <w:r w:rsidRPr="002569D5">
        <w:rPr>
          <w:rFonts w:ascii="Courier New" w:hAnsi="Courier New" w:cs="Courier New"/>
        </w:rPr>
        <w:t>, List&lt;</w:t>
      </w:r>
      <w:proofErr w:type="spellStart"/>
      <w:r w:rsidRPr="002569D5">
        <w:rPr>
          <w:rFonts w:ascii="Courier New" w:hAnsi="Courier New" w:cs="Courier New"/>
        </w:rPr>
        <w:t>DataConsent</w:t>
      </w:r>
      <w:proofErr w:type="spellEnd"/>
      <w:r w:rsidRPr="002569D5">
        <w:rPr>
          <w:rFonts w:ascii="Courier New" w:hAnsi="Courier New" w:cs="Courier New"/>
        </w:rPr>
        <w:t>&gt;&gt;</w:t>
      </w:r>
      <w:r>
        <w:t xml:space="preserve">. Questa scelta permette di esprimere diversi concetti a livello semantico. Come prima cosa, per i </w:t>
      </w:r>
      <w:proofErr w:type="spellStart"/>
      <w:r>
        <w:t>Consent</w:t>
      </w:r>
      <w:proofErr w:type="spellEnd"/>
      <w:r>
        <w:t xml:space="preserve"> sul flusso di dati si è scelto di utilizzare la classe base </w:t>
      </w:r>
      <w:proofErr w:type="spellStart"/>
      <w:r w:rsidRPr="002569D5">
        <w:rPr>
          <w:rFonts w:ascii="Courier New" w:hAnsi="Courier New" w:cs="Courier New"/>
        </w:rPr>
        <w:t>DataConsent</w:t>
      </w:r>
      <w:proofErr w:type="spellEnd"/>
      <w:r>
        <w:t xml:space="preserve"> invece che le sue due implementazioni, in modo</w:t>
      </w:r>
      <w:r w:rsidR="002569D5">
        <w:t xml:space="preserve"> da poterli memorizzare indiscriminatamente. Ciò verifica l’utilizzo del principio di sostituibilità di </w:t>
      </w:r>
      <w:proofErr w:type="spellStart"/>
      <w:r w:rsidR="002569D5">
        <w:t>Liskov</w:t>
      </w:r>
      <w:proofErr w:type="spellEnd"/>
      <w:r w:rsidR="002569D5">
        <w:t xml:space="preserve">. Inoltre, la scelta di una </w:t>
      </w:r>
      <w:r w:rsidR="002569D5" w:rsidRPr="002569D5">
        <w:rPr>
          <w:rFonts w:ascii="Courier New" w:hAnsi="Courier New" w:cs="Courier New"/>
        </w:rPr>
        <w:t>List</w:t>
      </w:r>
      <w:r w:rsidR="002569D5">
        <w:t xml:space="preserve"> come </w:t>
      </w:r>
      <w:proofErr w:type="spellStart"/>
      <w:r w:rsidR="002569D5" w:rsidRPr="002569D5">
        <w:rPr>
          <w:rFonts w:ascii="Courier New" w:hAnsi="Courier New" w:cs="Courier New"/>
        </w:rPr>
        <w:t>value</w:t>
      </w:r>
      <w:proofErr w:type="spellEnd"/>
      <w:r w:rsidR="002569D5">
        <w:t xml:space="preserve"> all’interno di una mappa permette di descrivere un flusso di dati (all’interno dello stesso </w:t>
      </w:r>
      <w:proofErr w:type="spellStart"/>
      <w:r w:rsidR="002569D5" w:rsidRPr="002569D5">
        <w:rPr>
          <w:rFonts w:ascii="Courier New" w:hAnsi="Courier New" w:cs="Courier New"/>
        </w:rPr>
        <w:lastRenderedPageBreak/>
        <w:t>ServiceConsent</w:t>
      </w:r>
      <w:proofErr w:type="spellEnd"/>
      <w:r w:rsidR="002569D5">
        <w:t xml:space="preserve">) per il quale si sono rivelate </w:t>
      </w:r>
      <w:proofErr w:type="spellStart"/>
      <w:r w:rsidR="002569D5">
        <w:t>necessare</w:t>
      </w:r>
      <w:proofErr w:type="spellEnd"/>
      <w:r w:rsidR="002569D5">
        <w:t xml:space="preserve"> una molteplicità di interazioni fra </w:t>
      </w:r>
      <w:r w:rsidR="002569D5">
        <w:rPr>
          <w:i/>
        </w:rPr>
        <w:t xml:space="preserve">Source </w:t>
      </w:r>
      <w:r w:rsidR="002569D5">
        <w:t xml:space="preserve">e </w:t>
      </w:r>
      <w:proofErr w:type="spellStart"/>
      <w:r w:rsidR="002569D5">
        <w:rPr>
          <w:i/>
        </w:rPr>
        <w:t>Sink</w:t>
      </w:r>
      <w:proofErr w:type="spellEnd"/>
      <w:r w:rsidR="002569D5">
        <w:t xml:space="preserve">, ognuna delle quali modellata da un </w:t>
      </w:r>
      <w:proofErr w:type="spellStart"/>
      <w:r w:rsidR="002569D5" w:rsidRPr="002569D5">
        <w:rPr>
          <w:rFonts w:ascii="Courier New" w:hAnsi="Courier New" w:cs="Courier New"/>
        </w:rPr>
        <w:t>DataConsent</w:t>
      </w:r>
      <w:proofErr w:type="spellEnd"/>
      <w:r w:rsidR="002569D5">
        <w:t>.</w:t>
      </w:r>
    </w:p>
    <w:p w:rsidR="002569D5" w:rsidRPr="002569D5" w:rsidRDefault="002569D5" w:rsidP="003D4235">
      <w:r>
        <w:t xml:space="preserve">Ad ogni istanza di </w:t>
      </w:r>
      <w:proofErr w:type="spellStart"/>
      <w:r w:rsidRPr="002569D5">
        <w:rPr>
          <w:rFonts w:ascii="Courier New" w:hAnsi="Courier New" w:cs="Courier New"/>
        </w:rPr>
        <w:t>ServiceConsent</w:t>
      </w:r>
      <w:proofErr w:type="spellEnd"/>
      <w:r>
        <w:t xml:space="preserve"> corrisponde quindi una </w:t>
      </w:r>
      <w:r w:rsidRPr="002569D5">
        <w:rPr>
          <w:rFonts w:ascii="Courier New" w:hAnsi="Courier New" w:cs="Courier New"/>
        </w:rPr>
        <w:t>Collection</w:t>
      </w:r>
      <w:r>
        <w:t xml:space="preserve"> dei </w:t>
      </w:r>
      <w:proofErr w:type="spellStart"/>
      <w:r w:rsidRPr="002569D5">
        <w:rPr>
          <w:rFonts w:ascii="Courier New" w:hAnsi="Courier New" w:cs="Courier New"/>
        </w:rPr>
        <w:t>DataConsent</w:t>
      </w:r>
      <w:proofErr w:type="spellEnd"/>
      <w:r>
        <w:t xml:space="preserve"> emessi durante il periodo di validità dello stesso, ed è possibile avere un unico </w:t>
      </w:r>
      <w:proofErr w:type="spellStart"/>
      <w:r w:rsidRPr="002569D5">
        <w:rPr>
          <w:rFonts w:ascii="Courier New" w:hAnsi="Courier New" w:cs="Courier New"/>
        </w:rPr>
        <w:t>ServiceConsent</w:t>
      </w:r>
      <w:proofErr w:type="spellEnd"/>
      <w:r>
        <w:t xml:space="preserve"> attivo in un determinato istante di tempo.</w:t>
      </w:r>
    </w:p>
    <w:p w:rsidR="00371985" w:rsidRDefault="006A1EEE" w:rsidP="00371985">
      <w:pPr>
        <w:pStyle w:val="Heading2"/>
      </w:pPr>
      <w:bookmarkStart w:id="32" w:name="_Toc466904558"/>
      <w:r>
        <w:t>5.3 Security</w:t>
      </w:r>
      <w:r w:rsidR="00371985">
        <w:t>Manager</w:t>
      </w:r>
      <w:bookmarkEnd w:id="32"/>
    </w:p>
    <w:p w:rsidR="00371985" w:rsidRDefault="00371985" w:rsidP="00371985">
      <w:pPr>
        <w:keepNext/>
        <w:jc w:val="center"/>
      </w:pPr>
      <w:r>
        <w:rPr>
          <w:noProof/>
        </w:rPr>
        <w:drawing>
          <wp:inline distT="0" distB="0" distL="0" distR="0">
            <wp:extent cx="5256530" cy="1754705"/>
            <wp:effectExtent l="0" t="0" r="1270" b="0"/>
            <wp:docPr id="2" name="Picture 2" descr="C:\Users\Giada\AppData\Local\Microsoft\Windows\INetCacheContent.Word\Accounting-Securit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da\AppData\Local\Microsoft\Windows\INetCacheContent.Word\Accounting-SecurityMana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1754705"/>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4</w:t>
        </w:r>
      </w:fldSimple>
    </w:p>
    <w:p w:rsidR="00371985" w:rsidRDefault="00371985" w:rsidP="00371985">
      <w:pPr>
        <w:pStyle w:val="Heading2"/>
      </w:pPr>
      <w:bookmarkStart w:id="33" w:name="_Toc466904559"/>
      <w:r>
        <w:t>5.4 IMyData, MyData</w:t>
      </w:r>
      <w:bookmarkEnd w:id="33"/>
    </w:p>
    <w:p w:rsidR="00371985" w:rsidRDefault="00371985" w:rsidP="00371985">
      <w:pPr>
        <w:keepNext/>
        <w:jc w:val="center"/>
      </w:pPr>
      <w:r>
        <w:rPr>
          <w:noProof/>
        </w:rPr>
        <w:drawing>
          <wp:inline distT="0" distB="0" distL="0" distR="0">
            <wp:extent cx="5256530" cy="3421475"/>
            <wp:effectExtent l="0" t="0" r="1270" b="7620"/>
            <wp:docPr id="4" name="Picture 4" descr="C:\Users\Giada\AppData\Local\Microsoft\Windows\INetCacheContent.Word\M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My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3421475"/>
                    </a:xfrm>
                    <a:prstGeom prst="rect">
                      <a:avLst/>
                    </a:prstGeom>
                    <a:noFill/>
                    <a:ln>
                      <a:noFill/>
                    </a:ln>
                  </pic:spPr>
                </pic:pic>
              </a:graphicData>
            </a:graphic>
          </wp:inline>
        </w:drawing>
      </w:r>
    </w:p>
    <w:p w:rsidR="00371985" w:rsidRDefault="00371985" w:rsidP="00371985">
      <w:pPr>
        <w:pStyle w:val="Caption"/>
        <w:jc w:val="center"/>
        <w:rPr>
          <w:noProof/>
        </w:rPr>
      </w:pPr>
      <w:r>
        <w:t xml:space="preserve">Figura </w:t>
      </w:r>
      <w:fldSimple w:instr=" SEQ Figura \* ARABIC ">
        <w:r w:rsidR="00A30E21">
          <w:rPr>
            <w:noProof/>
          </w:rPr>
          <w:t>5</w:t>
        </w:r>
      </w:fldSimple>
    </w:p>
    <w:p w:rsidR="000C341F" w:rsidRDefault="000C341F" w:rsidP="000C341F">
      <w:r>
        <w:t xml:space="preserve">La classe </w:t>
      </w:r>
      <w:proofErr w:type="spellStart"/>
      <w:r>
        <w:t>MyData</w:t>
      </w:r>
      <w:proofErr w:type="spellEnd"/>
      <w:r>
        <w:t xml:space="preserve"> svolge all’interno del gestore di dati personali un importante ruol</w:t>
      </w:r>
      <w:r w:rsidR="00FC61F8">
        <w:t xml:space="preserve">o di coordinazione fra le parti, poiché </w:t>
      </w:r>
      <w:r>
        <w:t xml:space="preserve">realizza al suo interno una parte dell’Operatore </w:t>
      </w:r>
      <w:proofErr w:type="spellStart"/>
      <w:r>
        <w:lastRenderedPageBreak/>
        <w:t>MyData</w:t>
      </w:r>
      <w:proofErr w:type="spellEnd"/>
      <w:r>
        <w:t xml:space="preserve">, secondo quanto specificato in 4.2. </w:t>
      </w:r>
      <w:r w:rsidR="00FC61F8">
        <w:t>Essa è un punto di riferimento per l’interfaccia utente, alla quale fornisce i dati da elaborare e mostrare a video, e dalla quale riceve le richieste effettuate dall’utente.</w:t>
      </w:r>
    </w:p>
    <w:p w:rsidR="00FC61F8" w:rsidRDefault="00FC61F8" w:rsidP="000C341F">
      <w:r>
        <w:t>Si occupa quindi come prim</w:t>
      </w:r>
      <w:r w:rsidR="0015021B">
        <w:t>a cosa</w:t>
      </w:r>
      <w:r>
        <w:t xml:space="preserve"> di registrare e autenticare gli utenti (metodi </w:t>
      </w:r>
      <w:proofErr w:type="spellStart"/>
      <w:r>
        <w:t>createMyDataAccount</w:t>
      </w:r>
      <w:proofErr w:type="spellEnd"/>
      <w:r>
        <w:t xml:space="preserve"> e </w:t>
      </w:r>
      <w:proofErr w:type="spellStart"/>
      <w:r>
        <w:t>loginUser</w:t>
      </w:r>
      <w:proofErr w:type="spellEnd"/>
      <w:r>
        <w:t>) in modo da impedire la creazione di duplicati. I controlli in questo senso vengono effettuati su un Set&lt;</w:t>
      </w:r>
      <w:proofErr w:type="spellStart"/>
      <w:r>
        <w:t>IUser</w:t>
      </w:r>
      <w:proofErr w:type="spellEnd"/>
      <w:r>
        <w:t>&gt; contenuto all’interno della classe (</w:t>
      </w:r>
      <w:r w:rsidR="008B6956">
        <w:t>si sfrutta la</w:t>
      </w:r>
      <w:r>
        <w:t xml:space="preserve"> proprietà della struttura dati Set di non ammettere duplicati)</w:t>
      </w:r>
      <w:r w:rsidR="008B6956">
        <w:t>.</w:t>
      </w:r>
      <w:r w:rsidR="0015021B">
        <w:t xml:space="preserve"> L</w:t>
      </w:r>
      <w:r w:rsidR="008B6956">
        <w:t xml:space="preserve">a creazione di un nuovo account presso un determinato servizio viene gestita da questa classe, tramite invocazione dell’opportuno metodo esposto dall’interfaccia </w:t>
      </w:r>
      <w:proofErr w:type="spellStart"/>
      <w:r w:rsidR="008B6956">
        <w:t>IU</w:t>
      </w:r>
      <w:r w:rsidR="0015021B">
        <w:t>ser</w:t>
      </w:r>
      <w:proofErr w:type="spellEnd"/>
      <w:r w:rsidR="0015021B">
        <w:t xml:space="preserve">, insieme alla richiesta di nuovi </w:t>
      </w:r>
      <w:proofErr w:type="spellStart"/>
      <w:r w:rsidR="0015021B">
        <w:t>ServiceConsent</w:t>
      </w:r>
      <w:proofErr w:type="spellEnd"/>
      <w:r w:rsidR="0015021B">
        <w:t xml:space="preserve"> in caso di utente già registrato.</w:t>
      </w:r>
    </w:p>
    <w:p w:rsidR="00FC61F8" w:rsidRDefault="008B6956" w:rsidP="000C341F">
      <w:r>
        <w:t xml:space="preserve">In secondo luogo, </w:t>
      </w:r>
      <w:r w:rsidR="0015021B">
        <w:t>ogni servizio che ha richiesto e ottenuto il permesso di accedere a uno specifico insieme di dati personali di un utente fa riferimento alla clas</w:t>
      </w:r>
      <w:r w:rsidR="009E78E0">
        <w:t xml:space="preserve">se </w:t>
      </w:r>
      <w:proofErr w:type="spellStart"/>
      <w:r w:rsidR="009E78E0">
        <w:t>MyData</w:t>
      </w:r>
      <w:proofErr w:type="spellEnd"/>
      <w:r w:rsidR="009E78E0">
        <w:t xml:space="preserve">, che si occupa di intercedere presso il Personal Data </w:t>
      </w:r>
      <w:proofErr w:type="spellStart"/>
      <w:r w:rsidR="009E78E0">
        <w:t>Vault</w:t>
      </w:r>
      <w:proofErr w:type="spellEnd"/>
      <w:r w:rsidR="009E78E0">
        <w:t xml:space="preserve"> per ottenere quanto richiesto. L’operazione si svolge sia per i dati in ingresso che per i dati in uscita dal </w:t>
      </w:r>
      <w:proofErr w:type="spellStart"/>
      <w:r w:rsidR="009E78E0">
        <w:t>Vault</w:t>
      </w:r>
      <w:proofErr w:type="spellEnd"/>
      <w:r w:rsidR="009E78E0">
        <w:t xml:space="preserve"> mediante i metodi </w:t>
      </w:r>
      <w:proofErr w:type="spellStart"/>
      <w:r w:rsidR="009E78E0" w:rsidRPr="009E78E0">
        <w:t>getDataSetForOutputDataConsent</w:t>
      </w:r>
      <w:proofErr w:type="spellEnd"/>
      <w:r w:rsidR="009E78E0" w:rsidRPr="009E78E0">
        <w:t>(</w:t>
      </w:r>
      <w:proofErr w:type="spellStart"/>
      <w:r w:rsidR="009E78E0" w:rsidRPr="009E78E0">
        <w:t>OutputDataConsent</w:t>
      </w:r>
      <w:proofErr w:type="spellEnd"/>
      <w:r w:rsidR="009E78E0" w:rsidRPr="009E78E0">
        <w:t xml:space="preserve"> </w:t>
      </w:r>
      <w:proofErr w:type="spellStart"/>
      <w:r w:rsidR="009E78E0" w:rsidRPr="009E78E0">
        <w:t>outputDataConsent</w:t>
      </w:r>
      <w:proofErr w:type="spellEnd"/>
      <w:r w:rsidR="009E78E0" w:rsidRPr="009E78E0">
        <w:t>)</w:t>
      </w:r>
      <w:r w:rsidR="009E78E0">
        <w:t xml:space="preserve"> e </w:t>
      </w:r>
      <w:proofErr w:type="spellStart"/>
      <w:r w:rsidR="009E78E0" w:rsidRPr="009E78E0">
        <w:t>saveDataSet</w:t>
      </w:r>
      <w:proofErr w:type="spellEnd"/>
      <w:r w:rsidR="009E78E0" w:rsidRPr="009E78E0">
        <w:t>(</w:t>
      </w:r>
      <w:proofErr w:type="spellStart"/>
      <w:r w:rsidR="009E78E0" w:rsidRPr="009E78E0">
        <w:t>IDataSet</w:t>
      </w:r>
      <w:proofErr w:type="spellEnd"/>
      <w:r w:rsidR="009E78E0" w:rsidRPr="009E78E0">
        <w:t xml:space="preserve"> </w:t>
      </w:r>
      <w:proofErr w:type="spellStart"/>
      <w:r w:rsidR="009E78E0" w:rsidRPr="009E78E0">
        <w:t>dataSet</w:t>
      </w:r>
      <w:proofErr w:type="spellEnd"/>
      <w:r w:rsidR="009E78E0" w:rsidRPr="009E78E0">
        <w:t xml:space="preserve">, </w:t>
      </w:r>
      <w:proofErr w:type="spellStart"/>
      <w:r w:rsidR="009E78E0" w:rsidRPr="009E78E0">
        <w:t>InputDataConsent</w:t>
      </w:r>
      <w:proofErr w:type="spellEnd"/>
      <w:r w:rsidR="009E78E0" w:rsidRPr="009E78E0">
        <w:t xml:space="preserve"> </w:t>
      </w:r>
      <w:proofErr w:type="spellStart"/>
      <w:r w:rsidR="009E78E0" w:rsidRPr="009E78E0">
        <w:t>inDataConsent</w:t>
      </w:r>
      <w:proofErr w:type="spellEnd"/>
      <w:r w:rsidR="009E78E0" w:rsidRPr="009E78E0">
        <w:t>)</w:t>
      </w:r>
      <w:r w:rsidR="009E78E0">
        <w:t xml:space="preserve">. In entrambi i casi, viene controllata la validità del </w:t>
      </w:r>
      <w:proofErr w:type="spellStart"/>
      <w:r w:rsidR="009E78E0">
        <w:t>Consent</w:t>
      </w:r>
      <w:proofErr w:type="spellEnd"/>
      <w:r w:rsidR="009E78E0">
        <w:t xml:space="preserve"> emesso prima di effettuare la richiesta di dati personali.</w:t>
      </w:r>
    </w:p>
    <w:p w:rsidR="00EF08BA" w:rsidRDefault="00EF08BA" w:rsidP="000C341F">
      <w:r>
        <w:t xml:space="preserve">Infine, si evidenzia la realizzazione della classe </w:t>
      </w:r>
      <w:proofErr w:type="spellStart"/>
      <w:r>
        <w:t>MyData</w:t>
      </w:r>
      <w:proofErr w:type="spellEnd"/>
      <w:r>
        <w:t xml:space="preserve"> come Singleton mediante l’utilizzo di un costruttore privato e di un campo </w:t>
      </w:r>
      <w:proofErr w:type="spellStart"/>
      <w:r>
        <w:t>instance</w:t>
      </w:r>
      <w:proofErr w:type="spellEnd"/>
      <w:r>
        <w:t xml:space="preserve"> di tipo </w:t>
      </w:r>
      <w:proofErr w:type="spellStart"/>
      <w:r>
        <w:t>MyData</w:t>
      </w:r>
      <w:proofErr w:type="spellEnd"/>
      <w:r>
        <w:t>. Ciò assicura la presenza di un unico Operatore di questo tipo all’interno del programma</w:t>
      </w:r>
    </w:p>
    <w:p w:rsidR="008B6956" w:rsidRDefault="008B6956" w:rsidP="00371985">
      <w:pPr>
        <w:pStyle w:val="Heading2"/>
      </w:pPr>
      <w:bookmarkStart w:id="34" w:name="_Toc466904560"/>
      <w:bookmarkStart w:id="35" w:name="_Ref466909302"/>
    </w:p>
    <w:p w:rsidR="00371985" w:rsidRDefault="00371985" w:rsidP="00371985">
      <w:pPr>
        <w:pStyle w:val="Heading2"/>
      </w:pPr>
      <w:r>
        <w:t>5.6 Autorizzazioni e Consent</w:t>
      </w:r>
      <w:bookmarkEnd w:id="34"/>
      <w:bookmarkEnd w:id="35"/>
    </w:p>
    <w:p w:rsidR="00DB1D37" w:rsidRDefault="00DB1D37" w:rsidP="00DB1D37">
      <w:pPr>
        <w:keepNext/>
        <w:jc w:val="center"/>
      </w:pPr>
      <w:r>
        <w:rPr>
          <w:noProof/>
        </w:rPr>
        <w:drawing>
          <wp:inline distT="0" distB="0" distL="0" distR="0">
            <wp:extent cx="5256530" cy="2331205"/>
            <wp:effectExtent l="0" t="0" r="1270" b="0"/>
            <wp:docPr id="6" name="Picture 6" descr="C:\Users\Giada\AppData\Local\Microsoft\Windows\INetCacheContent.Word\Auth-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a\AppData\Local\Microsoft\Windows\INetCacheContent.Word\Auth-clo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6530" cy="2331205"/>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fldSimple w:instr=" SEQ Figura \* ARABIC ">
        <w:r w:rsidR="00A30E21">
          <w:rPr>
            <w:noProof/>
          </w:rPr>
          <w:t>6</w:t>
        </w:r>
      </w:fldSimple>
    </w:p>
    <w:p w:rsidR="00EF08BA" w:rsidRDefault="009C2D76" w:rsidP="00EF08BA">
      <w:r>
        <w:t>Per quanto riguarda la gestione delle autorizzazioni e dei permessi, si procede come prima cosa ad uno studio di alto livello.</w:t>
      </w:r>
    </w:p>
    <w:p w:rsidR="009C2D76" w:rsidRDefault="009C2D76" w:rsidP="00EF08BA">
      <w:r>
        <w:t xml:space="preserve">Le classi più importanti all’interno di questa architettura sono </w:t>
      </w:r>
      <w:proofErr w:type="spellStart"/>
      <w:r>
        <w:t>ConsentManager</w:t>
      </w:r>
      <w:proofErr w:type="spellEnd"/>
      <w:r>
        <w:t>, che realizza il gestore di permessi previsto in 4.2, e le due tipologie di permessi, anch’esse previste in fase di Analisi (4.4).</w:t>
      </w:r>
    </w:p>
    <w:p w:rsidR="009C2D76" w:rsidRPr="00EF08BA" w:rsidRDefault="009C2D76" w:rsidP="00EF08BA">
      <w:r>
        <w:t xml:space="preserve">È presente infine anche l’enumerativo </w:t>
      </w:r>
      <w:proofErr w:type="spellStart"/>
      <w:r>
        <w:t>ConsentStatus</w:t>
      </w:r>
      <w:proofErr w:type="spellEnd"/>
      <w:r>
        <w:t xml:space="preserve">, attraverso il quale si rappresentano gli </w:t>
      </w:r>
      <w:r w:rsidR="00420A91">
        <w:t>stati del rapporto fra un utente ed un servizio generici.</w:t>
      </w:r>
    </w:p>
    <w:p w:rsidR="00DB1D37" w:rsidRDefault="00DB1D37" w:rsidP="00DB1D37">
      <w:pPr>
        <w:pStyle w:val="Heading3"/>
      </w:pPr>
      <w:bookmarkStart w:id="36" w:name="_Toc466904561"/>
      <w:r>
        <w:t xml:space="preserve">5.6.1 </w:t>
      </w:r>
      <w:proofErr w:type="spellStart"/>
      <w:r>
        <w:t>ConsentManager</w:t>
      </w:r>
      <w:proofErr w:type="spellEnd"/>
      <w:r>
        <w:t xml:space="preserve">, </w:t>
      </w:r>
      <w:proofErr w:type="spellStart"/>
      <w:r>
        <w:t>ConsentStatus</w:t>
      </w:r>
      <w:bookmarkEnd w:id="36"/>
      <w:proofErr w:type="spellEnd"/>
    </w:p>
    <w:p w:rsidR="00DB1D37" w:rsidRDefault="00DB1D37" w:rsidP="00DB1D37">
      <w:pPr>
        <w:keepNext/>
        <w:jc w:val="center"/>
      </w:pPr>
      <w:r>
        <w:rPr>
          <w:noProof/>
        </w:rPr>
        <w:drawing>
          <wp:inline distT="0" distB="0" distL="0" distR="0">
            <wp:extent cx="5256530" cy="2553030"/>
            <wp:effectExtent l="0" t="0" r="1270" b="0"/>
            <wp:docPr id="7" name="Picture 7" descr="C:\Users\Giada\AppData\Local\Microsoft\Windows\INetCacheContent.Word\Aut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uth-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530" cy="2553030"/>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fldSimple w:instr=" SEQ Figura \* ARABIC ">
        <w:r w:rsidR="00A30E21">
          <w:rPr>
            <w:noProof/>
          </w:rPr>
          <w:t>7</w:t>
        </w:r>
      </w:fldSimple>
    </w:p>
    <w:p w:rsidR="00B14469" w:rsidRDefault="00996C70" w:rsidP="00996C70">
      <w:r>
        <w:lastRenderedPageBreak/>
        <w:t xml:space="preserve">La classe </w:t>
      </w:r>
      <w:proofErr w:type="spellStart"/>
      <w:r>
        <w:t>ConsentManager</w:t>
      </w:r>
      <w:proofErr w:type="spellEnd"/>
      <w:r>
        <w:t xml:space="preserve"> si occupa dell’erogazione, in caso di richiesta legittima, di vari tipi di permessi ai servizi che ne fanno richiesta.</w:t>
      </w:r>
      <w:r w:rsidR="00F26066">
        <w:t xml:space="preserve"> </w:t>
      </w:r>
      <w:r w:rsidR="00B14469">
        <w:t>Poiché il suo scopo è quello di garantire il rispetto di un determinato protocollo di assegnazione dei permessi, essa è prima di tutto una classe implementativa e per questo motivo non è previsto alcun tipo di astrazione (ad esempio tramite interfaccia).</w:t>
      </w:r>
    </w:p>
    <w:p w:rsidR="00B14469" w:rsidRDefault="00B14469" w:rsidP="00996C70">
      <w:r>
        <w:t xml:space="preserve">Si potrebbe considerare di rendere la classe </w:t>
      </w:r>
      <w:proofErr w:type="spellStart"/>
      <w:r>
        <w:t>final</w:t>
      </w:r>
      <w:proofErr w:type="spellEnd"/>
      <w:r>
        <w:t>, per impedire estensioni o ridefinizioni del comportamento. Le motivazio</w:t>
      </w:r>
      <w:r w:rsidR="00A341B2">
        <w:t>ni a supporto di questa scelta risiedono nella garanzia di una maggiore sicurezza. Tuttavia, nel complesso ciò avrebbe portato ad una eccessiva rigidità del codice, impedendo aggiornamenti del protocollo anche in casi di legittima necessità.</w:t>
      </w:r>
    </w:p>
    <w:p w:rsidR="00996C70" w:rsidRDefault="00F26066" w:rsidP="00996C70">
      <w:r w:rsidRPr="00B14469">
        <w:t>Per la sua implementazione, ho cercato di fare in modo che essa realizzasse un servi</w:t>
      </w:r>
      <w:r>
        <w:t>zio</w:t>
      </w:r>
      <w:r w:rsidR="00785511">
        <w:t xml:space="preserve"> il più possibile</w:t>
      </w:r>
      <w:r>
        <w:t xml:space="preserve"> indipendente dal resto dell’architettura</w:t>
      </w:r>
      <w:r w:rsidR="00785511">
        <w:t xml:space="preserve"> circostante.</w:t>
      </w:r>
      <w:r w:rsidR="00B14469">
        <w:t xml:space="preserve"> Pertanto,</w:t>
      </w:r>
      <w:r w:rsidR="00A341B2">
        <w:t xml:space="preserve"> la classe </w:t>
      </w:r>
      <w:proofErr w:type="spellStart"/>
      <w:r w:rsidR="00A341B2">
        <w:t>ConsentManager</w:t>
      </w:r>
      <w:proofErr w:type="spellEnd"/>
      <w:r w:rsidR="00A341B2">
        <w:t xml:space="preserve"> non mantiene alcuno stato interno, presenta costruttore privato e non ha dipendenze rilevanti. Inoltre, p</w:t>
      </w:r>
      <w:r w:rsidR="00996C70">
        <w:t xml:space="preserve">oiché la procedura di verifica dei requisiti </w:t>
      </w:r>
      <w:r w:rsidR="00670EE9">
        <w:t xml:space="preserve">è costante e indipendente dai parametri di ingresso, ogni metodo è stato realizzato come </w:t>
      </w:r>
      <w:proofErr w:type="spellStart"/>
      <w:r w:rsidR="00670EE9">
        <w:t>static</w:t>
      </w:r>
      <w:proofErr w:type="spellEnd"/>
      <w:r w:rsidR="00670EE9">
        <w:t xml:space="preserve">. </w:t>
      </w:r>
      <w:r w:rsidR="00BD3D8F">
        <w:t xml:space="preserve">È </w:t>
      </w:r>
    </w:p>
    <w:p w:rsidR="00E605D4" w:rsidRPr="00996C70" w:rsidRDefault="00E605D4" w:rsidP="00996C70">
      <w:r>
        <w:t xml:space="preserve">I tipi di </w:t>
      </w:r>
      <w:proofErr w:type="spellStart"/>
      <w:r>
        <w:t>Consent</w:t>
      </w:r>
      <w:proofErr w:type="spellEnd"/>
      <w:r>
        <w:t xml:space="preserve"> erogati dalla classe </w:t>
      </w:r>
      <w:proofErr w:type="spellStart"/>
      <w:r>
        <w:t>ConsentManager</w:t>
      </w:r>
      <w:proofErr w:type="spellEnd"/>
      <w:r>
        <w:t xml:space="preserve"> sono </w:t>
      </w:r>
      <w:proofErr w:type="spellStart"/>
      <w:r w:rsidR="00BD3D8F">
        <w:t>ServiceConsent</w:t>
      </w:r>
      <w:proofErr w:type="spellEnd"/>
      <w:r w:rsidR="00BD3D8F">
        <w:t xml:space="preserve"> e le classi “figlie” </w:t>
      </w:r>
      <w:proofErr w:type="spellStart"/>
      <w:r w:rsidR="00BD3D8F">
        <w:t>InputDataConsent</w:t>
      </w:r>
      <w:proofErr w:type="spellEnd"/>
      <w:r w:rsidR="00BD3D8F">
        <w:t xml:space="preserve">, </w:t>
      </w:r>
      <w:proofErr w:type="spellStart"/>
      <w:r w:rsidR="00BD3D8F">
        <w:t>OutputDataConsent</w:t>
      </w:r>
      <w:proofErr w:type="spellEnd"/>
      <w:r w:rsidR="00BD3D8F">
        <w:t xml:space="preserve">, ognuno con un metodo dedicato. È presente anche la procedura </w:t>
      </w:r>
      <w:proofErr w:type="spellStart"/>
      <w:r w:rsidR="00BD3D8F" w:rsidRPr="00BD3D8F">
        <w:t>changeServiceConsentStatusForService</w:t>
      </w:r>
      <w:proofErr w:type="spellEnd"/>
      <w:r w:rsidR="00BD3D8F">
        <w:t xml:space="preserve"> </w:t>
      </w:r>
      <w:r w:rsidR="00BD3D8F" w:rsidRPr="00BD3D8F">
        <w:t>(</w:t>
      </w:r>
      <w:proofErr w:type="spellStart"/>
      <w:r w:rsidR="00BD3D8F" w:rsidRPr="00BD3D8F">
        <w:t>IUser</w:t>
      </w:r>
      <w:proofErr w:type="spellEnd"/>
      <w:r w:rsidR="00BD3D8F" w:rsidRPr="00BD3D8F">
        <w:t xml:space="preserve"> user, </w:t>
      </w:r>
      <w:proofErr w:type="spellStart"/>
      <w:r w:rsidR="00BD3D8F" w:rsidRPr="00BD3D8F">
        <w:t>IService</w:t>
      </w:r>
      <w:proofErr w:type="spellEnd"/>
      <w:r w:rsidR="00BD3D8F" w:rsidRPr="00BD3D8F">
        <w:t xml:space="preserve"> service, </w:t>
      </w:r>
      <w:proofErr w:type="spellStart"/>
      <w:r w:rsidR="00BD3D8F" w:rsidRPr="00BD3D8F">
        <w:t>ConsentStatus</w:t>
      </w:r>
      <w:proofErr w:type="spellEnd"/>
      <w:r w:rsidR="00BD3D8F" w:rsidRPr="00BD3D8F">
        <w:t xml:space="preserve"> </w:t>
      </w:r>
      <w:proofErr w:type="spellStart"/>
      <w:r w:rsidR="00BD3D8F" w:rsidRPr="00BD3D8F">
        <w:t>newStatus</w:t>
      </w:r>
      <w:proofErr w:type="spellEnd"/>
      <w:r w:rsidR="00BD3D8F" w:rsidRPr="00BD3D8F">
        <w:t>)</w:t>
      </w:r>
      <w:r w:rsidR="00BD3D8F">
        <w:t xml:space="preserve">, che permette all’utente di cambiare lo stato del Service </w:t>
      </w:r>
      <w:proofErr w:type="spellStart"/>
      <w:r w:rsidR="00BD3D8F">
        <w:t>Consent</w:t>
      </w:r>
      <w:proofErr w:type="spellEnd"/>
      <w:r w:rsidR="00BD3D8F">
        <w:t xml:space="preserve"> correntemente attivo o disabilitato, secondo quanto previsto dalle specifiche di </w:t>
      </w:r>
      <w:proofErr w:type="spellStart"/>
      <w:r w:rsidR="00BD3D8F">
        <w:t>MyData</w:t>
      </w:r>
      <w:proofErr w:type="spellEnd"/>
      <w:r w:rsidR="00BD3D8F">
        <w:t xml:space="preserve"> e successivamente in fase di Analisi (sez. 4.4). </w:t>
      </w:r>
    </w:p>
    <w:p w:rsidR="00DB1D37" w:rsidRDefault="00DB1D37" w:rsidP="006A1EEE">
      <w:pPr>
        <w:pStyle w:val="Heading3"/>
      </w:pPr>
      <w:bookmarkStart w:id="37" w:name="_Toc466904562"/>
      <w:bookmarkStart w:id="38" w:name="_Ref466909682"/>
      <w:r>
        <w:lastRenderedPageBreak/>
        <w:t xml:space="preserve">5.6.2 </w:t>
      </w:r>
      <w:proofErr w:type="spellStart"/>
      <w:r>
        <w:t>ServiceConsent</w:t>
      </w:r>
      <w:proofErr w:type="spellEnd"/>
      <w:r w:rsidR="006A1EEE">
        <w:t xml:space="preserve">, </w:t>
      </w:r>
      <w:proofErr w:type="spellStart"/>
      <w:r w:rsidR="006A1EEE">
        <w:t>DataConsent</w:t>
      </w:r>
      <w:bookmarkEnd w:id="37"/>
      <w:bookmarkEnd w:id="38"/>
      <w:proofErr w:type="spellEnd"/>
    </w:p>
    <w:p w:rsidR="006A1EEE" w:rsidRDefault="006A1EEE" w:rsidP="006A1EEE">
      <w:pPr>
        <w:keepNext/>
        <w:jc w:val="center"/>
      </w:pPr>
      <w:r>
        <w:rPr>
          <w:noProof/>
        </w:rPr>
        <w:drawing>
          <wp:inline distT="0" distB="0" distL="0" distR="0">
            <wp:extent cx="5256530" cy="3537793"/>
            <wp:effectExtent l="0" t="0" r="1270" b="5715"/>
            <wp:docPr id="8" name="Picture 8" descr="C:\Users\Giada\AppData\Local\Microsoft\Windows\INetCacheContent.Word\Auth-Cons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da\AppData\Local\Microsoft\Windows\INetCacheContent.Word\Auth-Cons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530" cy="3537793"/>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fldSimple w:instr=" SEQ Figura \* ARABIC ">
        <w:r w:rsidR="00A30E21">
          <w:rPr>
            <w:noProof/>
          </w:rPr>
          <w:t>8</w:t>
        </w:r>
      </w:fldSimple>
    </w:p>
    <w:p w:rsidR="00A20DE1" w:rsidRDefault="000A1629" w:rsidP="00B42F5C">
      <w:r>
        <w:t>I permessi utilizzati all’intern</w:t>
      </w:r>
      <w:r w:rsidR="00655CAC">
        <w:t>o del gestore di dati personali</w:t>
      </w:r>
      <w:r>
        <w:t xml:space="preserve"> ed erogati dalla classe </w:t>
      </w:r>
      <w:proofErr w:type="spellStart"/>
      <w:r>
        <w:t>ConsentManager</w:t>
      </w:r>
      <w:proofErr w:type="spellEnd"/>
      <w:r>
        <w:t xml:space="preserve"> sono istanze delle classi </w:t>
      </w:r>
      <w:proofErr w:type="spellStart"/>
      <w:r>
        <w:t>ServiceConsent</w:t>
      </w:r>
      <w:proofErr w:type="spellEnd"/>
      <w:r>
        <w:t xml:space="preserve">, </w:t>
      </w:r>
      <w:proofErr w:type="spellStart"/>
      <w:r>
        <w:t>InputDataConsent</w:t>
      </w:r>
      <w:proofErr w:type="spellEnd"/>
      <w:r>
        <w:t xml:space="preserve"> e </w:t>
      </w:r>
      <w:proofErr w:type="spellStart"/>
      <w:r>
        <w:t>OutputDataConsent</w:t>
      </w:r>
      <w:proofErr w:type="spellEnd"/>
      <w:r>
        <w:t xml:space="preserve">. Come è possibile osservare dal diagramma UML in figura, </w:t>
      </w:r>
      <w:proofErr w:type="spellStart"/>
      <w:r w:rsidR="00655CAC">
        <w:t>InputDataConsent</w:t>
      </w:r>
      <w:proofErr w:type="spellEnd"/>
      <w:r w:rsidR="00655CAC">
        <w:t xml:space="preserve"> e </w:t>
      </w:r>
      <w:proofErr w:type="spellStart"/>
      <w:r w:rsidR="00655CAC">
        <w:t>OutputDataConsent</w:t>
      </w:r>
      <w:proofErr w:type="spellEnd"/>
      <w:r w:rsidR="00655CAC">
        <w:t xml:space="preserve"> estendono la classe </w:t>
      </w:r>
      <w:proofErr w:type="spellStart"/>
      <w:r w:rsidR="00655CAC">
        <w:t>DataConsent</w:t>
      </w:r>
      <w:proofErr w:type="spellEnd"/>
      <w:r w:rsidR="00655CAC">
        <w:t xml:space="preserve">: la loro funzione è principalmente semantica, in quanto non aggiungono logica al programma ma descrivono il verso del flusso di dati che si crea con il Personal Data </w:t>
      </w:r>
      <w:proofErr w:type="spellStart"/>
      <w:r w:rsidR="00655CAC">
        <w:t>Vault</w:t>
      </w:r>
      <w:proofErr w:type="spellEnd"/>
      <w:r w:rsidR="00655CAC">
        <w:t xml:space="preserve">. Pertanto, descriverò principalmente le caratteristiche delle classi </w:t>
      </w:r>
      <w:proofErr w:type="spellStart"/>
      <w:r w:rsidR="00655CAC">
        <w:t>ServiceConsent</w:t>
      </w:r>
      <w:proofErr w:type="spellEnd"/>
      <w:r w:rsidR="00655CAC">
        <w:t xml:space="preserve"> e </w:t>
      </w:r>
      <w:proofErr w:type="spellStart"/>
      <w:r w:rsidR="00655CAC">
        <w:t>DataConsent</w:t>
      </w:r>
      <w:proofErr w:type="spellEnd"/>
      <w:r w:rsidR="00C85BA0">
        <w:t xml:space="preserve">, che costituiscono il </w:t>
      </w:r>
      <w:r w:rsidR="00604932">
        <w:t xml:space="preserve">punto focale della realizzazione dei permessi descritti in </w:t>
      </w:r>
      <w:proofErr w:type="spellStart"/>
      <w:r w:rsidR="00604932">
        <w:t>MyData</w:t>
      </w:r>
      <w:proofErr w:type="spellEnd"/>
      <w:r w:rsidR="00604932">
        <w:t>.</w:t>
      </w:r>
    </w:p>
    <w:p w:rsidR="00A20DE1" w:rsidRDefault="00A20DE1" w:rsidP="00B42F5C">
      <w:r>
        <w:t xml:space="preserve">Nonostante </w:t>
      </w:r>
      <w:r w:rsidR="00E10DF1">
        <w:t>la differenza di realizzazione e di utilizzo</w:t>
      </w:r>
      <w:r>
        <w:t>,</w:t>
      </w:r>
      <w:r w:rsidR="00E10DF1">
        <w:t xml:space="preserve"> entrambe le classi</w:t>
      </w:r>
      <w:r w:rsidR="00C85BA0">
        <w:t xml:space="preserve"> </w:t>
      </w:r>
      <w:proofErr w:type="spellStart"/>
      <w:r w:rsidR="00C85BA0">
        <w:t>ServiceConsent</w:t>
      </w:r>
      <w:proofErr w:type="spellEnd"/>
      <w:r w:rsidR="00C85BA0">
        <w:t xml:space="preserve"> e </w:t>
      </w:r>
      <w:proofErr w:type="spellStart"/>
      <w:r w:rsidR="00C85BA0">
        <w:t>DataConsent</w:t>
      </w:r>
      <w:proofErr w:type="spellEnd"/>
      <w:r>
        <w:t xml:space="preserve"> impl</w:t>
      </w:r>
      <w:r w:rsidR="00E10DF1">
        <w:t>ementano una interfaccia comune</w:t>
      </w:r>
      <w:r>
        <w:t xml:space="preserve"> </w:t>
      </w:r>
      <w:proofErr w:type="spellStart"/>
      <w:r>
        <w:t>IConsent</w:t>
      </w:r>
      <w:proofErr w:type="spellEnd"/>
      <w:r w:rsidR="00E10DF1">
        <w:t>. Questa</w:t>
      </w:r>
      <w:r>
        <w:t xml:space="preserve"> è una interfaccia “marker”</w:t>
      </w:r>
      <w:r w:rsidR="00E10DF1">
        <w:t xml:space="preserve"> necessaria per esprimere una somiglianza a livello semantico, in quanto entrambe le classi descrivono un tipo di autorizzazione.</w:t>
      </w:r>
    </w:p>
    <w:p w:rsidR="00E10DF1" w:rsidRDefault="00E10DF1" w:rsidP="00B42F5C">
      <w:r>
        <w:t xml:space="preserve">Dal diagramma UML è possibile dedurre il ruolo della classe Account rispetto ai due tipi di </w:t>
      </w:r>
      <w:proofErr w:type="spellStart"/>
      <w:r>
        <w:t>Consent</w:t>
      </w:r>
      <w:proofErr w:type="spellEnd"/>
      <w:r>
        <w:t xml:space="preserve">. Come accennato infatti in 5.2.2, essa mantiene al suo interno una mappa di corrispondenze fra </w:t>
      </w:r>
      <w:proofErr w:type="spellStart"/>
      <w:r>
        <w:t>ServiceConsent</w:t>
      </w:r>
      <w:proofErr w:type="spellEnd"/>
      <w:r>
        <w:t xml:space="preserve"> e liste di </w:t>
      </w:r>
      <w:proofErr w:type="spellStart"/>
      <w:r>
        <w:t>DataConsent</w:t>
      </w:r>
      <w:proofErr w:type="spellEnd"/>
      <w:r w:rsidR="00604932">
        <w:t>.</w:t>
      </w:r>
    </w:p>
    <w:p w:rsidR="00E10DF1" w:rsidRDefault="00E10DF1" w:rsidP="00604932">
      <w:r>
        <w:lastRenderedPageBreak/>
        <w:t>Nel primo caso,</w:t>
      </w:r>
      <w:r w:rsidR="00604932">
        <w:t xml:space="preserve"> la relazione è rappresentata mediante il simbolo “rombo nero”, che qualifica la classe Account come “contenitore” di istanze della classe </w:t>
      </w:r>
      <w:proofErr w:type="spellStart"/>
      <w:r w:rsidR="00604932">
        <w:t>ServiceConsent</w:t>
      </w:r>
      <w:proofErr w:type="spellEnd"/>
      <w:r w:rsidR="00604932">
        <w:t>. In particolare, il rombo nero descrive un tipo di relazione molto stretta fra le due parti, e la scelta è dovuta a</w:t>
      </w:r>
      <w:r>
        <w:t xml:space="preserve">lle specifiche di </w:t>
      </w:r>
      <w:proofErr w:type="spellStart"/>
      <w:r>
        <w:t>MyData</w:t>
      </w:r>
      <w:proofErr w:type="spellEnd"/>
      <w:r w:rsidR="00604932">
        <w:t>,</w:t>
      </w:r>
      <w:r>
        <w:t xml:space="preserve"> secondo cui non è possibile registrarsi presso un servizio senza ottenere un </w:t>
      </w:r>
      <w:proofErr w:type="spellStart"/>
      <w:r>
        <w:t>Consent</w:t>
      </w:r>
      <w:proofErr w:type="spellEnd"/>
      <w:r>
        <w:t xml:space="preserve">. </w:t>
      </w:r>
      <w:r w:rsidR="00604932">
        <w:t xml:space="preserve">Ciò </w:t>
      </w:r>
      <w:r>
        <w:t xml:space="preserve">è stato implementato mediante l’emissione di un </w:t>
      </w:r>
      <w:proofErr w:type="spellStart"/>
      <w:r>
        <w:t>ServiceConsent</w:t>
      </w:r>
      <w:proofErr w:type="spellEnd"/>
      <w:r>
        <w:t xml:space="preserve"> prima della creazione effettiva dell’account</w:t>
      </w:r>
      <w:r w:rsidR="004A7CD3">
        <w:t>, e il legame fra i due avviene tramite il</w:t>
      </w:r>
      <w:r w:rsidR="00604932">
        <w:t xml:space="preserve"> passaggio di questo permesso a</w:t>
      </w:r>
      <w:r w:rsidR="004A7CD3">
        <w:t>l costruttore della classe Account.</w:t>
      </w:r>
    </w:p>
    <w:p w:rsidR="00DB4666" w:rsidRDefault="00B42F5C" w:rsidP="00B42F5C">
      <w:r>
        <w:t>La class</w:t>
      </w:r>
      <w:r w:rsidR="00A20DE1">
        <w:t xml:space="preserve">e </w:t>
      </w:r>
      <w:proofErr w:type="spellStart"/>
      <w:r w:rsidR="00A20DE1">
        <w:t>ServiceConsent</w:t>
      </w:r>
      <w:proofErr w:type="spellEnd"/>
      <w:r w:rsidR="00A20DE1">
        <w:t xml:space="preserve"> realizza il primo – e il più rilevante – dei due tipi di permessi previsti per il gestore di dati personali. Al suo interno troviamo i token firmati da utente e servizio per la mutu</w:t>
      </w:r>
      <w:r w:rsidR="00FD6411">
        <w:t>a autenticazione, insieme a</w:t>
      </w:r>
      <w:r w:rsidR="00A20DE1">
        <w:t xml:space="preserve">i rispettivi riferimenti; vi sono inoltre anche alcuni campi per l’identificazione del </w:t>
      </w:r>
      <w:proofErr w:type="spellStart"/>
      <w:r w:rsidR="00A20DE1">
        <w:t>Consent</w:t>
      </w:r>
      <w:proofErr w:type="spellEnd"/>
      <w:r w:rsidR="00A20DE1">
        <w:t xml:space="preserve"> stesso e</w:t>
      </w:r>
      <w:r w:rsidR="00DB4666">
        <w:t xml:space="preserve"> la sua collocazione temporale.</w:t>
      </w:r>
    </w:p>
    <w:p w:rsidR="00DB4666" w:rsidRDefault="00DB4666" w:rsidP="00B22642">
      <w:r>
        <w:t xml:space="preserve">Per quanto riguarda invece i </w:t>
      </w:r>
      <w:proofErr w:type="spellStart"/>
      <w:r>
        <w:t>DataConsent</w:t>
      </w:r>
      <w:proofErr w:type="spellEnd"/>
      <w:r>
        <w:t xml:space="preserve">, essi si comportano come access token per il Personal Data </w:t>
      </w:r>
      <w:proofErr w:type="spellStart"/>
      <w:r>
        <w:t>Vault</w:t>
      </w:r>
      <w:proofErr w:type="spellEnd"/>
      <w:r>
        <w:t xml:space="preserve"> validi una sola volta e conservati come storico dell’accesso ai dati personali. A tal fine, un </w:t>
      </w:r>
      <w:proofErr w:type="spellStart"/>
      <w:r>
        <w:t>DataConsent</w:t>
      </w:r>
      <w:proofErr w:type="spellEnd"/>
      <w:r>
        <w:t xml:space="preserve"> contiene al suo interno il Set&lt;</w:t>
      </w:r>
      <w:proofErr w:type="spellStart"/>
      <w:r>
        <w:t>String</w:t>
      </w:r>
      <w:proofErr w:type="spellEnd"/>
      <w:r>
        <w:t>&gt; che contiene l’elenco dei tipi di dato a cui il servizio beneficiario può accedere</w:t>
      </w:r>
      <w:r w:rsidR="00B22642">
        <w:t xml:space="preserve">. Per impedire accessi illegittimi, viene sempre controllata la corrispondenza fra i tipi di dato dichiarati in fase di registrazione e quelli richiesti alla creazione del </w:t>
      </w:r>
      <w:proofErr w:type="spellStart"/>
      <w:r w:rsidR="00B22642">
        <w:t>DataConsent</w:t>
      </w:r>
      <w:proofErr w:type="spellEnd"/>
      <w:r w:rsidR="00B22642">
        <w:t>. P</w:t>
      </w:r>
      <w:r>
        <w:t xml:space="preserve">oiché il servizio non può interrogare direttamente il Personal Data </w:t>
      </w:r>
      <w:proofErr w:type="spellStart"/>
      <w:r>
        <w:t>Vault</w:t>
      </w:r>
      <w:proofErr w:type="spellEnd"/>
      <w:r>
        <w:t>, gli scambi avvengono in base a quanto dichiarato all’interno del</w:t>
      </w:r>
      <w:r w:rsidR="00B22642">
        <w:t xml:space="preserve"> Set&lt;</w:t>
      </w:r>
      <w:proofErr w:type="spellStart"/>
      <w:r w:rsidR="00B22642">
        <w:t>String</w:t>
      </w:r>
      <w:proofErr w:type="spellEnd"/>
      <w:r w:rsidR="00B22642">
        <w:t>&gt;.</w:t>
      </w:r>
    </w:p>
    <w:p w:rsidR="00B42F5C" w:rsidRPr="00B42F5C" w:rsidRDefault="00B22642" w:rsidP="00B42F5C">
      <w:r>
        <w:t>Infine, si evidenzia da</w:t>
      </w:r>
      <w:r w:rsidR="00DB4666">
        <w:t>l</w:t>
      </w:r>
      <w:r w:rsidR="00A20DE1">
        <w:t xml:space="preserve"> diagramma UML </w:t>
      </w:r>
      <w:r w:rsidR="00DB4666">
        <w:t>che</w:t>
      </w:r>
      <w:r w:rsidR="00A20DE1">
        <w:t xml:space="preserve"> </w:t>
      </w:r>
      <w:r w:rsidR="00DB4666">
        <w:t xml:space="preserve">ogni </w:t>
      </w:r>
      <w:proofErr w:type="spellStart"/>
      <w:r w:rsidR="00DB4666">
        <w:t>DataConsent</w:t>
      </w:r>
      <w:proofErr w:type="spellEnd"/>
      <w:r w:rsidR="00DB4666">
        <w:t xml:space="preserve"> mantiene un riferimento al </w:t>
      </w:r>
      <w:proofErr w:type="spellStart"/>
      <w:r w:rsidR="00DB4666">
        <w:t>ServiceConsent</w:t>
      </w:r>
      <w:proofErr w:type="spellEnd"/>
      <w:r w:rsidR="00DB4666">
        <w:t xml:space="preserve"> attivo al momento della sua emissione</w:t>
      </w:r>
      <w:r>
        <w:t xml:space="preserve">, al fine di avere una migliore tracciabilità delle transazioni di dati, e che il costruttore della stessa classe ha visibilità package - </w:t>
      </w:r>
      <w:proofErr w:type="spellStart"/>
      <w:r>
        <w:t>protected</w:t>
      </w:r>
      <w:proofErr w:type="spellEnd"/>
      <w:r>
        <w:t xml:space="preserve"> in modo da obbligare l’uso delle sottoclassi alle classi esterne.</w:t>
      </w:r>
    </w:p>
    <w:p w:rsidR="00BC3D2E" w:rsidRDefault="00BC3D2E" w:rsidP="006A1EEE">
      <w:pPr>
        <w:pStyle w:val="Heading2"/>
      </w:pPr>
      <w:bookmarkStart w:id="39" w:name="_Toc466904563"/>
      <w:r>
        <w:t>rappresentazione dei dati</w:t>
      </w:r>
    </w:p>
    <w:p w:rsidR="00BC3D2E" w:rsidRDefault="00BC3D2E" w:rsidP="00BC3D2E">
      <w:r>
        <w:t xml:space="preserve">Si presenta a questo punto la problematica di rappresentazione dei dati, non solo all’interno del Personal Data Storage ma anche durante le transazioni fra Source e </w:t>
      </w:r>
      <w:proofErr w:type="spellStart"/>
      <w:r>
        <w:t>Sink</w:t>
      </w:r>
      <w:proofErr w:type="spellEnd"/>
      <w:r>
        <w:t>, e all’interno del servizio stesso.</w:t>
      </w:r>
    </w:p>
    <w:p w:rsidR="00BC3D2E" w:rsidRDefault="00BC3D2E" w:rsidP="00BC3D2E">
      <w:r>
        <w:t xml:space="preserve">La soluzione implementata all’interno del </w:t>
      </w:r>
      <w:proofErr w:type="spellStart"/>
      <w:r>
        <w:t>Mobility</w:t>
      </w:r>
      <w:proofErr w:type="spellEnd"/>
      <w:r>
        <w:t xml:space="preserve"> </w:t>
      </w:r>
      <w:proofErr w:type="spellStart"/>
      <w:r>
        <w:t>Profile</w:t>
      </w:r>
      <w:proofErr w:type="spellEnd"/>
      <w:r>
        <w:t xml:space="preserve"> prevede l’uso di </w:t>
      </w:r>
      <w:r w:rsidR="00183EDC">
        <w:t xml:space="preserve">oggetti </w:t>
      </w:r>
      <w:proofErr w:type="spellStart"/>
      <w:r>
        <w:t>JsonArray</w:t>
      </w:r>
      <w:proofErr w:type="spellEnd"/>
      <w:r w:rsidR="00183EDC">
        <w:t xml:space="preserve"> e </w:t>
      </w:r>
      <w:proofErr w:type="spellStart"/>
      <w:r w:rsidR="00183EDC">
        <w:t>GeoJSON</w:t>
      </w:r>
      <w:proofErr w:type="spellEnd"/>
      <w:r w:rsidR="00183EDC">
        <w:t xml:space="preserve">, come indicato nella documentazione </w:t>
      </w:r>
      <w:r>
        <w:t xml:space="preserve"> </w:t>
      </w:r>
      <w:r w:rsidR="00183EDC">
        <w:t>\</w:t>
      </w:r>
      <w:proofErr w:type="spellStart"/>
      <w:r w:rsidR="00183EDC">
        <w:t>cite</w:t>
      </w:r>
      <w:proofErr w:type="spellEnd"/>
      <w:r w:rsidR="00183EDC">
        <w:t>{</w:t>
      </w:r>
      <w:r w:rsidR="00183EDC" w:rsidRPr="00183EDC">
        <w:t xml:space="preserve"> </w:t>
      </w:r>
      <w:proofErr w:type="spellStart"/>
      <w:r w:rsidR="00183EDC" w:rsidRPr="00183EDC">
        <w:lastRenderedPageBreak/>
        <w:t>githubmobilityprofilespecification</w:t>
      </w:r>
      <w:proofErr w:type="spellEnd"/>
      <w:r w:rsidR="00183EDC">
        <w:t xml:space="preserve">}, tuttavia questa implementazione differisce dal caso di studio poiché il servizio che utilizza i dati per calcolare il prossimo viaggio più probabile e il Personal Data Storage si trovano all’interno della stessa </w:t>
      </w:r>
      <w:proofErr w:type="spellStart"/>
      <w:r w:rsidR="00183EDC">
        <w:t>app</w:t>
      </w:r>
      <w:proofErr w:type="spellEnd"/>
      <w:r w:rsidR="00183EDC">
        <w:t xml:space="preserve">. Come anticipato in 2.1.1 infatti, l’applicazione </w:t>
      </w:r>
      <w:proofErr w:type="spellStart"/>
      <w:r w:rsidR="00183EDC">
        <w:t>Journey</w:t>
      </w:r>
      <w:proofErr w:type="spellEnd"/>
      <w:r w:rsidR="00183EDC">
        <w:t xml:space="preserve"> Planner è solamente un </w:t>
      </w:r>
      <w:proofErr w:type="spellStart"/>
      <w:r w:rsidR="00183EDC">
        <w:t>frontend</w:t>
      </w:r>
      <w:proofErr w:type="spellEnd"/>
      <w:r w:rsidR="00183EDC">
        <w:t xml:space="preserve"> che non esegue alcuna computazione ma presenta un risultato già pronto.</w:t>
      </w:r>
    </w:p>
    <w:p w:rsidR="0036731E" w:rsidRDefault="00183EDC" w:rsidP="00BC3D2E">
      <w:r>
        <w:t xml:space="preserve">All’interno del gestore di dati personali in oggetto si vuole invece permettere un flusso di dati fra Source e </w:t>
      </w:r>
      <w:proofErr w:type="spellStart"/>
      <w:r>
        <w:t>Sink</w:t>
      </w:r>
      <w:proofErr w:type="spellEnd"/>
      <w:r>
        <w:t xml:space="preserve"> generici in modo che la computazione avvenga presso il servizio che richiede i dati</w:t>
      </w:r>
      <w:r w:rsidR="0036731E">
        <w:t>, non localmente al Personal Data Storage.</w:t>
      </w:r>
    </w:p>
    <w:p w:rsidR="0036731E" w:rsidRPr="00BC3D2E" w:rsidRDefault="0036731E" w:rsidP="00BC3D2E">
      <w:r>
        <w:t>In fase di Analisi (sezione 4.6) il problema è stato preso in considerazione, e si è proposta come soluzione l’utilizzo del formato JSON per la comunicazione e il trasferimento di dati.</w:t>
      </w:r>
    </w:p>
    <w:p w:rsidR="00BC3D2E" w:rsidRDefault="00BC3D2E" w:rsidP="00BC3D2E">
      <w:r>
        <w:t xml:space="preserve">In questo senso, come prima cosa ho studiato i componenti Java disponibili nell’architettura per realizzare la conversione in stringhe JSON: </w:t>
      </w:r>
      <w:proofErr w:type="spellStart"/>
      <w:r>
        <w:t>JsonArray</w:t>
      </w:r>
      <w:proofErr w:type="spellEnd"/>
      <w:r>
        <w:t xml:space="preserve">, </w:t>
      </w:r>
      <w:proofErr w:type="spellStart"/>
      <w:r>
        <w:t>JsonObject</w:t>
      </w:r>
      <w:proofErr w:type="spellEnd"/>
      <w:r>
        <w:t xml:space="preserve"> e altre sotto-interfacce di </w:t>
      </w:r>
      <w:proofErr w:type="spellStart"/>
      <w:r>
        <w:t>JsonValue</w:t>
      </w:r>
      <w:proofErr w:type="spellEnd"/>
      <w:r>
        <w:t xml:space="preserve">. Il motivo per cui ho scelto di non utilizzarli è che questi non offrono alcun metodo di utilità per la conversione da oggetto a stringa, e la trasposizione di ogni </w:t>
      </w:r>
      <w:proofErr w:type="spellStart"/>
      <w:r>
        <w:t>field</w:t>
      </w:r>
      <w:proofErr w:type="spellEnd"/>
      <w:r>
        <w:t xml:space="preserve"> va realizzata manualmente sia in serializzazione che in </w:t>
      </w:r>
      <w:proofErr w:type="spellStart"/>
      <w:r>
        <w:t>deserializzazione</w:t>
      </w:r>
      <w:proofErr w:type="spellEnd"/>
      <w:r>
        <w:t xml:space="preserve">. </w:t>
      </w:r>
      <w:hyperlink r:id="rId18" w:history="1">
        <w:r w:rsidRPr="00B6175B">
          <w:rPr>
            <w:rStyle w:val="Hyperlink"/>
          </w:rPr>
          <w:t>http://docs.oracle.com/javaee/7/api/javax/json/JsonObject.html</w:t>
        </w:r>
      </w:hyperlink>
      <w:r>
        <w:t xml:space="preserve"> Una scelta di questo tipo implicherebbe un precedente accordo fra le parti per stabilire come interpretare le stringhe inviate, e una forte dipendenza dalla particolare implementazione dei dati utilizzati.</w:t>
      </w:r>
    </w:p>
    <w:p w:rsidR="00BC3D2E" w:rsidRDefault="00BC3D2E" w:rsidP="00901995">
      <w:r w:rsidRPr="00CF0544">
        <w:t xml:space="preserve">Come seconda opzione ho considerato di utilizzare la libreria Google </w:t>
      </w:r>
      <w:proofErr w:type="spellStart"/>
      <w:r w:rsidRPr="00CF0544">
        <w:t>Gson</w:t>
      </w:r>
      <w:proofErr w:type="spellEnd"/>
      <w:r w:rsidRPr="00CF0544">
        <w:t xml:space="preserve"> </w:t>
      </w:r>
      <w:hyperlink r:id="rId19" w:history="1">
        <w:r w:rsidRPr="00CF0544">
          <w:t>https://github.com/google/gson</w:t>
        </w:r>
      </w:hyperlink>
      <w:r w:rsidRPr="00CF0544">
        <w:t xml:space="preserve"> , in quanto essa risolve i problemi incontrati </w:t>
      </w:r>
      <w:r>
        <w:t>nel corso del primo tentativo g</w:t>
      </w:r>
      <w:r w:rsidRPr="00CF0544">
        <w:t>razie ai metodi</w:t>
      </w:r>
      <w:r>
        <w:t xml:space="preserve"> </w:t>
      </w:r>
      <w:proofErr w:type="spellStart"/>
      <w:r w:rsidRPr="00CF0544">
        <w:t>gson.</w:t>
      </w:r>
      <w:r>
        <w:t>toJson</w:t>
      </w:r>
      <w:proofErr w:type="spellEnd"/>
      <w:r>
        <w:t>(</w:t>
      </w:r>
      <w:proofErr w:type="spellStart"/>
      <w:r>
        <w:t>obj</w:t>
      </w:r>
      <w:proofErr w:type="spellEnd"/>
      <w:r>
        <w:t xml:space="preserve">) per la serializzazione e </w:t>
      </w:r>
      <w:proofErr w:type="spellStart"/>
      <w:r>
        <w:t>gson.fromJson</w:t>
      </w:r>
      <w:proofErr w:type="spellEnd"/>
      <w:r>
        <w:t>(</w:t>
      </w:r>
      <w:proofErr w:type="spellStart"/>
      <w:r>
        <w:t>json</w:t>
      </w:r>
      <w:proofErr w:type="spellEnd"/>
      <w:r>
        <w:t xml:space="preserve">, </w:t>
      </w:r>
      <w:proofErr w:type="spellStart"/>
      <w:r>
        <w:t>obj.class</w:t>
      </w:r>
      <w:proofErr w:type="spellEnd"/>
      <w:r>
        <w:t xml:space="preserve">) per la </w:t>
      </w:r>
      <w:proofErr w:type="spellStart"/>
      <w:r>
        <w:t>deserializzazione</w:t>
      </w:r>
      <w:proofErr w:type="spellEnd"/>
      <w:r>
        <w:t xml:space="preserve">. Questo approccio funziona perfettamente in caso di oggetti che contengono tipi primitivi, ma mostra qualche limitazione quando si introducono oggetti di tipo generico e Collection di oggetti, siano esse di oggetti di un unico tipo o di tipi diversi. Il motivo risiede nell’implementazione della Java Virtual Machine, e in particolare nella sua caratteristica di </w:t>
      </w:r>
      <w:proofErr w:type="spellStart"/>
      <w:r>
        <w:t>Type</w:t>
      </w:r>
      <w:proofErr w:type="spellEnd"/>
      <w:r>
        <w:t xml:space="preserve"> Erasure per la quale ogni oggetto a basso livello “perde” il suo tipo particolare per diventare un Object. Questo non crea problemi in serializzazione ma in </w:t>
      </w:r>
      <w:proofErr w:type="spellStart"/>
      <w:r>
        <w:t>deserializzazione</w:t>
      </w:r>
      <w:proofErr w:type="spellEnd"/>
      <w:r>
        <w:t xml:space="preserve">, quando risulta impossibile recuperare il tipo originario dell’oggetto da deserializzare. Poiché l’utilizzo della libreria </w:t>
      </w:r>
      <w:proofErr w:type="spellStart"/>
      <w:r>
        <w:t>Gson</w:t>
      </w:r>
      <w:proofErr w:type="spellEnd"/>
      <w:r>
        <w:t xml:space="preserve"> nel contesto del </w:t>
      </w:r>
      <w:proofErr w:type="spellStart"/>
      <w:r>
        <w:t>PersonalDataVault</w:t>
      </w:r>
      <w:proofErr w:type="spellEnd"/>
      <w:r>
        <w:t xml:space="preserve"> si sarebbe collocato </w:t>
      </w:r>
      <w:r>
        <w:lastRenderedPageBreak/>
        <w:t>all’interno dei casi non completamente supportati, ho scelto di scartare anche questa seconda possibilità.</w:t>
      </w:r>
    </w:p>
    <w:p w:rsidR="00901995" w:rsidRPr="00901995" w:rsidRDefault="00901995" w:rsidP="00901995">
      <w:r w:rsidRPr="00901995">
        <w:t>Quest</w:t>
      </w:r>
      <w:r>
        <w:t>a problematica (l’</w:t>
      </w:r>
      <w:r w:rsidRPr="00901995">
        <w:t>impossibilità di prevedere con su</w:t>
      </w:r>
      <w:r>
        <w:t xml:space="preserve">fficiente precisione tutte le possibili </w:t>
      </w:r>
      <w:r w:rsidRPr="00901995">
        <w:t>situazioni legate alla rappresentazione dei dati in ogni</w:t>
      </w:r>
      <w:r>
        <w:t xml:space="preserve"> momento</w:t>
      </w:r>
      <w:r w:rsidRPr="00901995">
        <w:t>) riveste un serio aspetto di complessità e articolazione tali da assumere una rilevanza non contenibile nei limiti del presente contesto di lavoro di tesi.</w:t>
      </w:r>
    </w:p>
    <w:p w:rsidR="00901995" w:rsidRPr="00901995" w:rsidRDefault="00901995" w:rsidP="00901995">
      <w:r w:rsidRPr="00901995">
        <w:t>Necessiterebbe, viceversa, di organizzazione, mezzi e tempistiche -</w:t>
      </w:r>
      <w:r>
        <w:t xml:space="preserve"> </w:t>
      </w:r>
      <w:r w:rsidRPr="00901995">
        <w:t>oltre che conoscenze</w:t>
      </w:r>
      <w:r>
        <w:t xml:space="preserve"> </w:t>
      </w:r>
      <w:r w:rsidRPr="00901995">
        <w:t>- non immediatamente disponibili nell'attuale c</w:t>
      </w:r>
      <w:r>
        <w:t>ontesto.</w:t>
      </w:r>
    </w:p>
    <w:p w:rsidR="00901995" w:rsidRPr="00901995" w:rsidRDefault="00901995" w:rsidP="00901995">
      <w:r w:rsidRPr="00901995">
        <w:t>Si rende necessario, pertanto, ricercare una soluzione diversa, più concreta e adeguata alle attuali circostanze, più am</w:t>
      </w:r>
      <w:r>
        <w:t>missibile anche rispetto agli o</w:t>
      </w:r>
      <w:r w:rsidRPr="00901995">
        <w:t>biettivi di questo lavoro.</w:t>
      </w:r>
    </w:p>
    <w:p w:rsidR="00901995" w:rsidRPr="00901995" w:rsidRDefault="00901995" w:rsidP="00901995">
      <w:r w:rsidRPr="00901995">
        <w:t>L'ipotesi che viene proposta, che si può ritenere più accettabile</w:t>
      </w:r>
      <w:r>
        <w:t>, consiste</w:t>
      </w:r>
    </w:p>
    <w:p w:rsidR="00901995" w:rsidRPr="00CF0544" w:rsidRDefault="00901995" w:rsidP="00BC3D2E"/>
    <w:p w:rsidR="00BC3D2E" w:rsidRDefault="00BC3D2E" w:rsidP="00BC3D2E">
      <w:r>
        <w:t xml:space="preserve">La soluzione da me proposta a questo problema consiste nell’utilizzo di una struttura dati </w:t>
      </w:r>
      <w:proofErr w:type="spellStart"/>
      <w:r>
        <w:t>DataSet</w:t>
      </w:r>
      <w:proofErr w:type="spellEnd"/>
      <w:r>
        <w:t xml:space="preserve"> che permetta lo scambio di dati di qualunque tipo all’interno del sistema, purché il loro tipo sia stato preventivamente dichiarato in fase di registrazione (sezione 5.9). La classe </w:t>
      </w:r>
      <w:proofErr w:type="spellStart"/>
      <w:r>
        <w:t>DataSet</w:t>
      </w:r>
      <w:proofErr w:type="spellEnd"/>
      <w:r>
        <w:t xml:space="preserve"> è descritta in dettaglio nella sezione 5.7.</w:t>
      </w:r>
    </w:p>
    <w:p w:rsidR="00BC3D2E" w:rsidRPr="00BC3D2E" w:rsidRDefault="00BC3D2E" w:rsidP="00BC3D2E"/>
    <w:p w:rsidR="006A1EEE" w:rsidRDefault="006A1EEE" w:rsidP="00BC3D2E">
      <w:pPr>
        <w:pStyle w:val="Heading3"/>
      </w:pPr>
      <w:r>
        <w:lastRenderedPageBreak/>
        <w:t>5.7 PersonalDataVault</w:t>
      </w:r>
      <w:bookmarkEnd w:id="39"/>
    </w:p>
    <w:p w:rsidR="006A1EEE" w:rsidRDefault="006A1EEE" w:rsidP="006A1EEE">
      <w:pPr>
        <w:keepNext/>
        <w:jc w:val="center"/>
      </w:pPr>
      <w:r>
        <w:rPr>
          <w:noProof/>
        </w:rPr>
        <w:drawing>
          <wp:inline distT="0" distB="0" distL="0" distR="0">
            <wp:extent cx="5256530" cy="3755818"/>
            <wp:effectExtent l="0" t="0" r="1270" b="0"/>
            <wp:docPr id="9" name="Picture 9" descr="C:\Users\Giada\AppData\Local\Microsoft\Windows\INetCacheContent.Word\PersonalData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da\AppData\Local\Microsoft\Windows\INetCacheContent.Word\PersonalDataVaul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3755818"/>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fldSimple w:instr=" SEQ Figura \* ARABIC ">
        <w:r w:rsidR="00A30E21">
          <w:rPr>
            <w:noProof/>
          </w:rPr>
          <w:t>9</w:t>
        </w:r>
      </w:fldSimple>
    </w:p>
    <w:p w:rsidR="00186DEC" w:rsidRDefault="0036731E" w:rsidP="000C62DA">
      <w:bookmarkStart w:id="40" w:name="_Toc466904564"/>
      <w:r w:rsidRPr="0036731E">
        <w:t xml:space="preserve">In questa sezione si presenta la </w:t>
      </w:r>
      <w:r w:rsidR="00186DEC">
        <w:t xml:space="preserve">classe </w:t>
      </w:r>
      <w:proofErr w:type="spellStart"/>
      <w:r w:rsidR="00186DEC">
        <w:t>PersonalDataVault</w:t>
      </w:r>
      <w:proofErr w:type="spellEnd"/>
      <w:r w:rsidR="00186DEC">
        <w:t>,</w:t>
      </w:r>
      <w:r w:rsidRPr="0036731E">
        <w:t xml:space="preserve"> in cui vengono mantenuti i dati personali dell’utente.</w:t>
      </w:r>
      <w:r w:rsidR="00186DEC">
        <w:t xml:space="preserve"> Essa corrisponde direttamente al Personal Data Storage proposto all’interno della documentazione </w:t>
      </w:r>
      <w:proofErr w:type="spellStart"/>
      <w:r w:rsidR="00186DEC">
        <w:t>MyData</w:t>
      </w:r>
      <w:proofErr w:type="spellEnd"/>
      <w:r w:rsidR="00186DEC">
        <w:t>.</w:t>
      </w:r>
    </w:p>
    <w:p w:rsidR="0036731E" w:rsidRPr="0036731E" w:rsidRDefault="0036731E" w:rsidP="000C62DA">
      <w:r w:rsidRPr="0036731E">
        <w:t xml:space="preserve"> L’interfaccia \</w:t>
      </w:r>
      <w:proofErr w:type="spellStart"/>
      <w:r w:rsidRPr="0036731E">
        <w:t>texttt</w:t>
      </w:r>
      <w:proofErr w:type="spellEnd"/>
      <w:r w:rsidRPr="0036731E">
        <w:t>{</w:t>
      </w:r>
      <w:proofErr w:type="spellStart"/>
      <w:r w:rsidRPr="0036731E">
        <w:t>IPersonalDataVault</w:t>
      </w:r>
      <w:proofErr w:type="spellEnd"/>
      <w:r w:rsidRPr="0036731E">
        <w:t>} espone i metodi \</w:t>
      </w:r>
      <w:proofErr w:type="spellStart"/>
      <w:r w:rsidRPr="0036731E">
        <w:t>texttt</w:t>
      </w:r>
      <w:proofErr w:type="spellEnd"/>
      <w:r w:rsidRPr="0036731E">
        <w:t>{</w:t>
      </w:r>
      <w:proofErr w:type="spellStart"/>
      <w:r w:rsidRPr="0036731E">
        <w:t>getData</w:t>
      </w:r>
      <w:proofErr w:type="spellEnd"/>
      <w:r w:rsidRPr="0036731E">
        <w:t xml:space="preserve"> (Set&lt;</w:t>
      </w:r>
      <w:proofErr w:type="spellStart"/>
      <w:r w:rsidRPr="0036731E">
        <w:t>String</w:t>
      </w:r>
      <w:proofErr w:type="spellEnd"/>
      <w:r w:rsidRPr="0036731E">
        <w:t xml:space="preserve">&gt; </w:t>
      </w:r>
      <w:proofErr w:type="spellStart"/>
      <w:r w:rsidRPr="0036731E">
        <w:t>typesConst</w:t>
      </w:r>
      <w:proofErr w:type="spellEnd"/>
      <w:r w:rsidRPr="0036731E">
        <w:t>)} (che restituisce un \</w:t>
      </w:r>
      <w:proofErr w:type="spellStart"/>
      <w:r w:rsidRPr="0036731E">
        <w:t>texttt</w:t>
      </w:r>
      <w:proofErr w:type="spellEnd"/>
      <w:r w:rsidRPr="0036731E">
        <w:t>{</w:t>
      </w:r>
      <w:proofErr w:type="spellStart"/>
      <w:r w:rsidRPr="0036731E">
        <w:t>IDataSet</w:t>
      </w:r>
      <w:proofErr w:type="spellEnd"/>
      <w:r w:rsidRPr="0036731E">
        <w:t>}) e \</w:t>
      </w:r>
      <w:proofErr w:type="spellStart"/>
      <w:r w:rsidRPr="0036731E">
        <w:t>texttt</w:t>
      </w:r>
      <w:proofErr w:type="spellEnd"/>
      <w:r w:rsidRPr="0036731E">
        <w:t>{</w:t>
      </w:r>
      <w:proofErr w:type="spellStart"/>
      <w:r w:rsidRPr="0036731E">
        <w:t>saveData</w:t>
      </w:r>
      <w:proofErr w:type="spellEnd"/>
      <w:r w:rsidRPr="0036731E">
        <w:t xml:space="preserve"> (</w:t>
      </w:r>
      <w:proofErr w:type="spellStart"/>
      <w:r w:rsidRPr="0036731E">
        <w:t>IDataSet</w:t>
      </w:r>
      <w:proofErr w:type="spellEnd"/>
      <w:r w:rsidRPr="0036731E">
        <w:t xml:space="preserve"> </w:t>
      </w:r>
      <w:proofErr w:type="spellStart"/>
      <w:r w:rsidRPr="0036731E">
        <w:t>dataSet</w:t>
      </w:r>
      <w:proofErr w:type="spellEnd"/>
      <w:r w:rsidRPr="0036731E">
        <w:t>)} che permettono l’accesso ai dati. Essi si occupano di prelevare dati, o salvarli, in base a quanto specificato dal \</w:t>
      </w:r>
      <w:proofErr w:type="spellStart"/>
      <w:r w:rsidRPr="0036731E">
        <w:t>texttt</w:t>
      </w:r>
      <w:proofErr w:type="spellEnd"/>
      <w:r w:rsidRPr="0036731E">
        <w:t>{Set&lt;</w:t>
      </w:r>
      <w:proofErr w:type="spellStart"/>
      <w:r w:rsidRPr="0036731E">
        <w:t>String</w:t>
      </w:r>
      <w:proofErr w:type="spellEnd"/>
      <w:r w:rsidRPr="0036731E">
        <w:t xml:space="preserve">&gt;} contenente l’insieme dei tipi di dato. Inoltre, la signature garantisce l’indipendenza dai tipi di dato in ingresso o in uscita dal </w:t>
      </w:r>
      <w:proofErr w:type="spellStart"/>
      <w:r w:rsidRPr="0036731E">
        <w:t>Vault</w:t>
      </w:r>
      <w:proofErr w:type="spellEnd"/>
      <w:r w:rsidRPr="0036731E">
        <w:t xml:space="preserve"> grazie all’uso di oggetti di tipo \</w:t>
      </w:r>
      <w:proofErr w:type="spellStart"/>
      <w:r w:rsidRPr="0036731E">
        <w:t>texttt</w:t>
      </w:r>
      <w:proofErr w:type="spellEnd"/>
      <w:r w:rsidRPr="0036731E">
        <w:t>{</w:t>
      </w:r>
      <w:proofErr w:type="spellStart"/>
      <w:r w:rsidRPr="0036731E">
        <w:t>DataSet</w:t>
      </w:r>
      <w:proofErr w:type="spellEnd"/>
      <w:r w:rsidRPr="0036731E">
        <w:t>} incapsulati in opportune interfacce \</w:t>
      </w:r>
      <w:proofErr w:type="spellStart"/>
      <w:r w:rsidRPr="0036731E">
        <w:t>texttt</w:t>
      </w:r>
      <w:proofErr w:type="spellEnd"/>
      <w:r w:rsidRPr="0036731E">
        <w:t>{</w:t>
      </w:r>
      <w:proofErr w:type="spellStart"/>
      <w:r w:rsidRPr="0036731E">
        <w:t>IDataSet</w:t>
      </w:r>
      <w:proofErr w:type="spellEnd"/>
      <w:r w:rsidRPr="0036731E">
        <w:t xml:space="preserve">}. </w:t>
      </w:r>
    </w:p>
    <w:p w:rsidR="000C62DA" w:rsidRDefault="0036731E" w:rsidP="000C62DA">
      <w:r w:rsidRPr="0036731E">
        <w:t>All’interno della classe \</w:t>
      </w:r>
      <w:proofErr w:type="spellStart"/>
      <w:r w:rsidRPr="0036731E">
        <w:t>texttt</w:t>
      </w:r>
      <w:proofErr w:type="spellEnd"/>
      <w:r w:rsidRPr="0036731E">
        <w:t>{</w:t>
      </w:r>
      <w:proofErr w:type="spellStart"/>
      <w:r w:rsidRPr="0036731E">
        <w:t>PersonalDataVault</w:t>
      </w:r>
      <w:proofErr w:type="spellEnd"/>
      <w:r w:rsidRPr="0036731E">
        <w:t xml:space="preserve">} troviamo alcuni metodi privati necessari per la gestione dei dati memorizzati (ad esempio la lettura e la scrittura su file, con opportune funzioni di utility necessarie per il </w:t>
      </w:r>
      <w:proofErr w:type="spellStart"/>
      <w:r w:rsidRPr="0036731E">
        <w:t>parsing</w:t>
      </w:r>
      <w:proofErr w:type="spellEnd"/>
      <w:r w:rsidRPr="0036731E">
        <w:t xml:space="preserve">). Le scelte effettuate in questo senso derivano da una precedente implementazione e sono state adattate solo in minima parte per motivi di </w:t>
      </w:r>
      <w:proofErr w:type="spellStart"/>
      <w:r w:rsidRPr="0036731E">
        <w:t>compatibilit</w:t>
      </w:r>
      <w:proofErr w:type="spellEnd"/>
      <w:r w:rsidRPr="0036731E">
        <w:t>\`a.</w:t>
      </w:r>
      <w:r w:rsidR="00FE195D">
        <w:t xml:space="preserve"> Per quanto riguarda invece i metodi ereditati dall’interfaccia, si evidenzia l’eventualità di una </w:t>
      </w:r>
      <w:proofErr w:type="spellStart"/>
      <w:r w:rsidR="00FE195D">
        <w:t>RuntimeException</w:t>
      </w:r>
      <w:proofErr w:type="spellEnd"/>
      <w:r w:rsidR="00FE195D">
        <w:t xml:space="preserve"> </w:t>
      </w:r>
      <w:r w:rsidR="00FE195D">
        <w:lastRenderedPageBreak/>
        <w:t>(</w:t>
      </w:r>
      <w:proofErr w:type="spellStart"/>
      <w:r w:rsidR="00FE195D">
        <w:t>ClassCastException</w:t>
      </w:r>
      <w:proofErr w:type="spellEnd"/>
      <w:r w:rsidR="00FE195D">
        <w:t xml:space="preserve">): </w:t>
      </w:r>
      <w:r w:rsidR="00433D29">
        <w:t xml:space="preserve">il verificarsi di questo evento non è auspicabile, ma rappresenta comunque uno stato del sistema previsto e voluto. Qualora infatti un oggetto dovesse rivelarsi di un tipo diverso rispetto a quello dichiarato all’interno del </w:t>
      </w:r>
      <w:proofErr w:type="spellStart"/>
      <w:r w:rsidR="00433D29">
        <w:t>dataSet</w:t>
      </w:r>
      <w:proofErr w:type="spellEnd"/>
      <w:r w:rsidR="00433D29">
        <w:t xml:space="preserve"> ricevuto in ingresso, è opportuno che il programma segnali questa grave inconsistenza, terminando la sua esecuzione. Incidentalmente, il verificarsi di una situazione di questo tipo implica </w:t>
      </w:r>
      <w:r w:rsidR="000807A8">
        <w:t>la non osservanza delle politiche e dei protocolli di sicurezza, pertanto si ritiene motivato l’utilizzo di questa eccezione di basso livello.</w:t>
      </w:r>
    </w:p>
    <w:p w:rsidR="000C62DA" w:rsidRDefault="000C62DA" w:rsidP="000C62DA">
      <w:pPr>
        <w:rPr>
          <w:smallCaps/>
        </w:rPr>
      </w:pPr>
      <w:r>
        <w:t xml:space="preserve">Si può osservare che l’implementazione del </w:t>
      </w:r>
      <w:proofErr w:type="spellStart"/>
      <w:r>
        <w:t>PersonalDataVault</w:t>
      </w:r>
      <w:proofErr w:type="spellEnd"/>
      <w:r>
        <w:t xml:space="preserve"> è particolarmente dipendente dai tipi di dato utilizzati dal servizio </w:t>
      </w:r>
      <w:proofErr w:type="spellStart"/>
      <w:r>
        <w:t>Most</w:t>
      </w:r>
      <w:proofErr w:type="spellEnd"/>
      <w:r>
        <w:t xml:space="preserve"> </w:t>
      </w:r>
      <w:proofErr w:type="spellStart"/>
      <w:r>
        <w:t>Likely</w:t>
      </w:r>
      <w:proofErr w:type="spellEnd"/>
      <w:r>
        <w:t xml:space="preserve"> </w:t>
      </w:r>
      <w:proofErr w:type="spellStart"/>
      <w:r>
        <w:t>Nex</w:t>
      </w:r>
      <w:proofErr w:type="spellEnd"/>
      <w:r>
        <w:t xml:space="preserve"> Trip scelto come caso di studio. Tale caratteristica costituisce una limitazione del gestore di dati personali realizzato in questa tesi e trova un riscontro all’interno delle problematiche evidenziate all’interno della sezione 5.6. Anche la scelta di memorizzare i dati acquisiti all’interno di file di testo, derivata da una precedente implementazione, si colloca all’interno di un orizzonte limitato: alcune proposte di aggiornamento sono state discusse in 4.5, e saranno oggetto d</w:t>
      </w:r>
      <w:r w:rsidR="00186DEC">
        <w:t>i ulteriore discussione all’interno del capitolo 6.</w:t>
      </w:r>
    </w:p>
    <w:p w:rsidR="00B346A5" w:rsidRDefault="00B346A5" w:rsidP="0036731E">
      <w:pPr>
        <w:pStyle w:val="Heading3"/>
      </w:pPr>
      <w:r>
        <w:t>5.8 Metadata</w:t>
      </w:r>
      <w:bookmarkEnd w:id="40"/>
    </w:p>
    <w:p w:rsidR="00B346A5" w:rsidRDefault="00B346A5" w:rsidP="00B346A5">
      <w:pPr>
        <w:keepNext/>
        <w:jc w:val="center"/>
      </w:pPr>
      <w:r>
        <w:rPr>
          <w:noProof/>
        </w:rPr>
        <w:drawing>
          <wp:inline distT="0" distB="0" distL="0" distR="0">
            <wp:extent cx="4488815" cy="3396615"/>
            <wp:effectExtent l="0" t="0" r="6985" b="0"/>
            <wp:docPr id="13" name="Picture 13" descr="C:\Users\Giada\AppData\Local\Microsoft\Windows\INetCacheContent.Wo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da\AppData\Local\Microsoft\Windows\INetCacheContent.Word\Meta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8815" cy="3396615"/>
                    </a:xfrm>
                    <a:prstGeom prst="rect">
                      <a:avLst/>
                    </a:prstGeom>
                    <a:noFill/>
                    <a:ln>
                      <a:noFill/>
                    </a:ln>
                  </pic:spPr>
                </pic:pic>
              </a:graphicData>
            </a:graphic>
          </wp:inline>
        </w:drawing>
      </w:r>
    </w:p>
    <w:p w:rsidR="00B346A5" w:rsidRDefault="00B346A5" w:rsidP="00B346A5">
      <w:pPr>
        <w:pStyle w:val="Caption"/>
        <w:jc w:val="center"/>
        <w:rPr>
          <w:noProof/>
        </w:rPr>
      </w:pPr>
      <w:r>
        <w:t xml:space="preserve">Figura </w:t>
      </w:r>
      <w:fldSimple w:instr=" SEQ Figura \* ARABIC ">
        <w:r w:rsidR="00A30E21">
          <w:rPr>
            <w:noProof/>
          </w:rPr>
          <w:t>10</w:t>
        </w:r>
      </w:fldSimple>
    </w:p>
    <w:p w:rsidR="00D77A37" w:rsidRPr="00D77A37" w:rsidRDefault="00D77A37" w:rsidP="00D77A37">
      <w:r w:rsidRPr="00D77A37">
        <w:lastRenderedPageBreak/>
        <w:t>Come già accennato in precedenza, un approccio diver</w:t>
      </w:r>
      <w:r>
        <w:t xml:space="preserve">so, più completo ed esaustivo, </w:t>
      </w:r>
      <w:r w:rsidRPr="00D77A37">
        <w:t>avrebbe comportato mezzi più consistenti e conoscenze di cui -</w:t>
      </w:r>
      <w:r>
        <w:t xml:space="preserve"> </w:t>
      </w:r>
      <w:r w:rsidRPr="00D77A37">
        <w:t>al momento</w:t>
      </w:r>
      <w:r>
        <w:t xml:space="preserve"> </w:t>
      </w:r>
      <w:r w:rsidRPr="00D77A37">
        <w:t>- non si dispone.</w:t>
      </w:r>
    </w:p>
    <w:p w:rsidR="00D77A37" w:rsidRDefault="00D77A37" w:rsidP="00D77A37">
      <w:r>
        <w:t xml:space="preserve">Si è ritenuto, in alternativa, </w:t>
      </w:r>
      <w:r w:rsidRPr="00D77A37">
        <w:t xml:space="preserve">di dover ricorrere alla definizione preventiva </w:t>
      </w:r>
      <w:r>
        <w:t xml:space="preserve">dei tipi di dato disponibili all’interno del sistema, quali ad esempio Position e </w:t>
      </w:r>
      <w:proofErr w:type="spellStart"/>
      <w:r>
        <w:t>ICalendar</w:t>
      </w:r>
      <w:proofErr w:type="spellEnd"/>
      <w:r>
        <w:t>, utilizzando dove possibile le interfacce al posto delle classi, onde diminuire la forte dipendenza dalla particolare implementazione.</w:t>
      </w:r>
    </w:p>
    <w:p w:rsidR="00D77A37" w:rsidRDefault="00D77A37" w:rsidP="00D77A37">
      <w:r w:rsidRPr="00D77A37">
        <w:t xml:space="preserve">Questa modalità potrebbe forse apparire come una eccessiva semplificazione del contesto </w:t>
      </w:r>
      <w:r w:rsidR="00F72CF4">
        <w:t xml:space="preserve">per la scelta arbitraria dei tipi di alto livello sopra menzionati e delle loro implementazioni. </w:t>
      </w:r>
      <w:r w:rsidRPr="00D77A37">
        <w:t>La soluzione proposta, però, è da ritenersi plausibile in quanto valuta che i componenti indicati</w:t>
      </w:r>
      <w:r w:rsidR="00C95BCB">
        <w:t xml:space="preserve"> </w:t>
      </w:r>
      <w:r w:rsidRPr="00D77A37">
        <w:t>siano tali da poter rendere risultati accettabili anche in presenza delle limitazioni assunte.</w:t>
      </w:r>
    </w:p>
    <w:p w:rsidR="00B3622B" w:rsidRPr="009244C0" w:rsidRDefault="00881962" w:rsidP="00B3622B">
      <w:r>
        <w:t>Pertanto, l</w:t>
      </w:r>
      <w:r w:rsidR="006B377B">
        <w:t xml:space="preserve">a classe Metadata ha il compito di definire a priori i tipi di dato disponibili all’interno dell’Operatore </w:t>
      </w:r>
      <w:proofErr w:type="spellStart"/>
      <w:r w:rsidR="006B377B">
        <w:t>MyData</w:t>
      </w:r>
      <w:proofErr w:type="spellEnd"/>
      <w:r w:rsidR="006B377B">
        <w:t>. A livello implementativo, la classe espone un certo numero di stringhe</w:t>
      </w:r>
      <w:r w:rsidR="00285308">
        <w:t xml:space="preserve"> </w:t>
      </w:r>
      <w:proofErr w:type="spellStart"/>
      <w:r w:rsidR="00285308">
        <w:t>static</w:t>
      </w:r>
      <w:proofErr w:type="spellEnd"/>
      <w:r w:rsidR="006B377B">
        <w:t xml:space="preserve"> </w:t>
      </w:r>
      <w:proofErr w:type="spellStart"/>
      <w:r w:rsidR="006B377B">
        <w:t>final</w:t>
      </w:r>
      <w:proofErr w:type="spellEnd"/>
      <w:r w:rsidR="00285308">
        <w:t xml:space="preserve">, ognuna delle quali è inizializzata con il </w:t>
      </w:r>
      <w:proofErr w:type="spellStart"/>
      <w:r w:rsidR="00285308">
        <w:t>fully</w:t>
      </w:r>
      <w:proofErr w:type="spellEnd"/>
      <w:r w:rsidR="00285308">
        <w:t xml:space="preserve"> </w:t>
      </w:r>
      <w:proofErr w:type="spellStart"/>
      <w:r w:rsidR="00285308">
        <w:t>qualified</w:t>
      </w:r>
      <w:proofErr w:type="spellEnd"/>
      <w:r w:rsidR="00285308">
        <w:t xml:space="preserve"> </w:t>
      </w:r>
      <w:proofErr w:type="spellStart"/>
      <w:r w:rsidR="00285308">
        <w:t>name</w:t>
      </w:r>
      <w:proofErr w:type="spellEnd"/>
      <w:r w:rsidR="00285308">
        <w:t xml:space="preserve"> della classe</w:t>
      </w:r>
      <w:r>
        <w:t xml:space="preserve"> (o interfaccia) che rappresenta, al fine di conservare l’informazione completa riguardo al tipo di dato.</w:t>
      </w:r>
      <w:r w:rsidR="00B3622B">
        <w:t xml:space="preserve"> All’interno del programma, esse sono accessibili mediante la notazione </w:t>
      </w:r>
      <w:proofErr w:type="spellStart"/>
      <w:r w:rsidR="00B3622B">
        <w:t>Metadata.DATATYPE_CONST</w:t>
      </w:r>
      <w:proofErr w:type="spellEnd"/>
      <w:r w:rsidR="00B3622B">
        <w:t xml:space="preserve">, ad esempio al momento della costruzione </w:t>
      </w:r>
      <w:r w:rsidR="00B3622B">
        <w:t>dei Set&lt;</w:t>
      </w:r>
      <w:proofErr w:type="spellStart"/>
      <w:r w:rsidR="00B3622B">
        <w:t>String</w:t>
      </w:r>
      <w:proofErr w:type="spellEnd"/>
      <w:r w:rsidR="00B3622B">
        <w:t xml:space="preserve">&gt; necessari per la registrazione presso il </w:t>
      </w:r>
      <w:proofErr w:type="spellStart"/>
      <w:r w:rsidR="00B3622B">
        <w:t>ServiceRegistry</w:t>
      </w:r>
      <w:proofErr w:type="spellEnd"/>
      <w:r w:rsidR="00B3622B">
        <w:t xml:space="preserve"> (sezione ), o nel controllo della legittimità dell’emissione di un permesso (sezione ).</w:t>
      </w:r>
    </w:p>
    <w:p w:rsidR="00B3622B" w:rsidRDefault="00B3622B" w:rsidP="009E231B">
      <w:pPr>
        <w:pStyle w:val="Heading3"/>
      </w:pPr>
    </w:p>
    <w:p w:rsidR="003D2B17" w:rsidRPr="003D2B17" w:rsidRDefault="009E231B" w:rsidP="009E231B">
      <w:pPr>
        <w:pStyle w:val="Heading3"/>
      </w:pPr>
      <w:proofErr w:type="spellStart"/>
      <w:r>
        <w:t>DataSet</w:t>
      </w:r>
      <w:proofErr w:type="spellEnd"/>
    </w:p>
    <w:p w:rsidR="00B346A5" w:rsidRDefault="00B346A5" w:rsidP="00B346A5"/>
    <w:p w:rsidR="00B346A5" w:rsidRDefault="00B346A5" w:rsidP="00B346A5">
      <w:pPr>
        <w:keepNext/>
        <w:jc w:val="center"/>
      </w:pPr>
      <w:r>
        <w:rPr>
          <w:noProof/>
        </w:rPr>
        <w:lastRenderedPageBreak/>
        <w:drawing>
          <wp:inline distT="0" distB="0" distL="0" distR="0">
            <wp:extent cx="5256530" cy="2600156"/>
            <wp:effectExtent l="0" t="0" r="1270" b="0"/>
            <wp:docPr id="12" name="Picture 12" descr="C:\Users\Giada\AppData\Local\Microsoft\Windows\INetCacheContent.Word\I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ada\AppData\Local\Microsoft\Windows\INetCacheContent.Word\IData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530" cy="2600156"/>
                    </a:xfrm>
                    <a:prstGeom prst="rect">
                      <a:avLst/>
                    </a:prstGeom>
                    <a:noFill/>
                    <a:ln>
                      <a:noFill/>
                    </a:ln>
                  </pic:spPr>
                </pic:pic>
              </a:graphicData>
            </a:graphic>
          </wp:inline>
        </w:drawing>
      </w:r>
    </w:p>
    <w:p w:rsidR="00B346A5" w:rsidRDefault="00B346A5" w:rsidP="00B346A5">
      <w:pPr>
        <w:pStyle w:val="Caption"/>
        <w:jc w:val="center"/>
        <w:rPr>
          <w:noProof/>
        </w:rPr>
      </w:pPr>
      <w:r>
        <w:t xml:space="preserve">Figura </w:t>
      </w:r>
      <w:fldSimple w:instr=" SEQ Figura \* ARABIC ">
        <w:r w:rsidR="00A30E21">
          <w:rPr>
            <w:noProof/>
          </w:rPr>
          <w:t>11</w:t>
        </w:r>
      </w:fldSimple>
    </w:p>
    <w:p w:rsidR="00796010" w:rsidRDefault="00796010" w:rsidP="009E231B">
      <w:r>
        <w:t xml:space="preserve">Come anticipato nelle sezioni precedenti, la classe </w:t>
      </w:r>
      <w:proofErr w:type="spellStart"/>
      <w:r>
        <w:t>DataSet</w:t>
      </w:r>
      <w:proofErr w:type="spellEnd"/>
      <w:r>
        <w:t xml:space="preserve"> viene utilizzata per il trasferimento di dati fra Source e </w:t>
      </w:r>
      <w:proofErr w:type="spellStart"/>
      <w:r>
        <w:t>Sink</w:t>
      </w:r>
      <w:proofErr w:type="spellEnd"/>
      <w:r>
        <w:t xml:space="preserve">. Dal grafico UML in figura si nota che essa viene sempre referenziata per mezzo dell’interfaccia </w:t>
      </w:r>
      <w:proofErr w:type="spellStart"/>
      <w:r>
        <w:t>IDataSet</w:t>
      </w:r>
      <w:proofErr w:type="spellEnd"/>
      <w:r>
        <w:t xml:space="preserve">, ed è inoltre possibile riconoscere </w:t>
      </w:r>
      <w:proofErr w:type="spellStart"/>
      <w:r>
        <w:t>IPersonalDataVault</w:t>
      </w:r>
      <w:proofErr w:type="spellEnd"/>
      <w:r>
        <w:t xml:space="preserve"> e </w:t>
      </w:r>
      <w:proofErr w:type="spellStart"/>
      <w:r>
        <w:t>IService</w:t>
      </w:r>
      <w:proofErr w:type="spellEnd"/>
      <w:r>
        <w:t xml:space="preserve"> nei ruoli (non statici) di Source e </w:t>
      </w:r>
      <w:proofErr w:type="spellStart"/>
      <w:r>
        <w:t>Sink</w:t>
      </w:r>
      <w:proofErr w:type="spellEnd"/>
      <w:r>
        <w:t>.</w:t>
      </w:r>
    </w:p>
    <w:p w:rsidR="004A7609" w:rsidRDefault="00796010" w:rsidP="009E231B">
      <w:r>
        <w:t xml:space="preserve">L’oggetto </w:t>
      </w:r>
      <w:proofErr w:type="spellStart"/>
      <w:r>
        <w:t>DataSet</w:t>
      </w:r>
      <w:proofErr w:type="spellEnd"/>
      <w:r>
        <w:t xml:space="preserve"> contiene i dati da trasferire mediante l’utilizzo di una </w:t>
      </w:r>
      <w:proofErr w:type="spellStart"/>
      <w:r>
        <w:t>Map</w:t>
      </w:r>
      <w:proofErr w:type="spellEnd"/>
      <w:r>
        <w:t>&lt;</w:t>
      </w:r>
      <w:proofErr w:type="spellStart"/>
      <w:r w:rsidR="00BF24A2">
        <w:t>String</w:t>
      </w:r>
      <w:proofErr w:type="spellEnd"/>
      <w:r w:rsidR="00BF24A2">
        <w:t xml:space="preserve">, Object&gt;, dove le chiavi sono le costanti di tipo stringa esposte dalla classe Metadata e i </w:t>
      </w:r>
      <w:proofErr w:type="spellStart"/>
      <w:r w:rsidR="00BF24A2">
        <w:t>value</w:t>
      </w:r>
      <w:proofErr w:type="spellEnd"/>
      <w:r w:rsidR="00BF24A2">
        <w:t xml:space="preserve"> corrispondenti sono generici Object (non sono permessi valori </w:t>
      </w:r>
      <w:proofErr w:type="spellStart"/>
      <w:r w:rsidR="00BF24A2">
        <w:t>null</w:t>
      </w:r>
      <w:proofErr w:type="spellEnd"/>
      <w:r w:rsidR="00BF24A2">
        <w:t xml:space="preserve">). </w:t>
      </w:r>
      <w:r w:rsidR="004A7609">
        <w:t>In altre parole, questa struttura dati associa ad ogni oggetto il suo tipo, espresso all’interno di una stringa.</w:t>
      </w:r>
    </w:p>
    <w:p w:rsidR="004A7609" w:rsidRDefault="004A7609" w:rsidP="009E231B">
      <w:r>
        <w:t xml:space="preserve">L’obiettivo della classe </w:t>
      </w:r>
      <w:proofErr w:type="spellStart"/>
      <w:r>
        <w:t>DataSet</w:t>
      </w:r>
      <w:proofErr w:type="spellEnd"/>
      <w:r>
        <w:t xml:space="preserve"> è contenere un insieme di oggetti il cui tipo non è noto a priori senza perdere l’informazione sul tipo stesso dopo la conversione a Object.</w:t>
      </w:r>
    </w:p>
    <w:p w:rsidR="00796010" w:rsidRDefault="000325A1" w:rsidP="009E231B">
      <w:r>
        <w:t xml:space="preserve">In questo modo si trova una soluzione al problema della </w:t>
      </w:r>
      <w:proofErr w:type="spellStart"/>
      <w:r>
        <w:t>Type</w:t>
      </w:r>
      <w:proofErr w:type="spellEnd"/>
      <w:r>
        <w:t xml:space="preserve"> Erasure, poiché l’informazione sul tipo di dato originario viene conservata separatamente</w:t>
      </w:r>
      <w:r w:rsidR="004A7609">
        <w:t xml:space="preserve"> all’oggetto stesso. Il destinatario della trasmissione è in grado, attraverso le costanti di tipo stringa, di risalire al tipo dell’oggetto ricevuto, in modo da poterlo utilizzare in modo appropriato.</w:t>
      </w:r>
    </w:p>
    <w:p w:rsidR="004A7609" w:rsidRPr="009E231B" w:rsidRDefault="004A7609" w:rsidP="009E231B">
      <w:r>
        <w:t xml:space="preserve">I metodi esposti dall’interfaccia ridefiniscono quelli propri della struttura dati </w:t>
      </w:r>
      <w:proofErr w:type="spellStart"/>
      <w:r>
        <w:t>Map</w:t>
      </w:r>
      <w:proofErr w:type="spellEnd"/>
      <w:r>
        <w:t xml:space="preserve"> che costituisce lo stato interno della classe, aggiungendo il controllo per i valori </w:t>
      </w:r>
      <w:proofErr w:type="spellStart"/>
      <w:r>
        <w:t>null</w:t>
      </w:r>
      <w:proofErr w:type="spellEnd"/>
      <w:r>
        <w:t xml:space="preserve"> e per la richiesta di </w:t>
      </w:r>
      <w:r w:rsidR="00600C9D">
        <w:t>oggetti non disponibili all’interno della mappa data.</w:t>
      </w:r>
    </w:p>
    <w:p w:rsidR="00B346A5" w:rsidRDefault="00B346A5" w:rsidP="009F0182">
      <w:pPr>
        <w:pStyle w:val="Heading2"/>
      </w:pPr>
      <w:bookmarkStart w:id="41" w:name="_Toc466904565"/>
      <w:r>
        <w:lastRenderedPageBreak/>
        <w:t>5.9 IService</w:t>
      </w:r>
      <w:r w:rsidR="00A30E21">
        <w:t>, AbstractService, MostLikelyNextTrip</w:t>
      </w:r>
      <w:bookmarkEnd w:id="41"/>
    </w:p>
    <w:p w:rsidR="00A30E21" w:rsidRDefault="00A30E21" w:rsidP="00A30E21">
      <w:pPr>
        <w:keepNext/>
        <w:jc w:val="center"/>
      </w:pPr>
      <w:r>
        <w:rPr>
          <w:noProof/>
        </w:rPr>
        <w:drawing>
          <wp:inline distT="0" distB="0" distL="0" distR="0">
            <wp:extent cx="5256530" cy="901441"/>
            <wp:effectExtent l="0" t="0" r="1270" b="0"/>
            <wp:docPr id="14" name="Picture 14" descr="C:\Users\Giada\AppData\Local\Microsoft\Windows\INetCacheContent.Word\Services-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da\AppData\Local\Microsoft\Windows\INetCacheContent.Word\Services-clos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901441"/>
                    </a:xfrm>
                    <a:prstGeom prst="rect">
                      <a:avLst/>
                    </a:prstGeom>
                    <a:noFill/>
                    <a:ln>
                      <a:noFill/>
                    </a:ln>
                  </pic:spPr>
                </pic:pic>
              </a:graphicData>
            </a:graphic>
          </wp:inline>
        </w:drawing>
      </w:r>
    </w:p>
    <w:p w:rsidR="00A30E21" w:rsidRDefault="00A30E21" w:rsidP="00A30E21">
      <w:pPr>
        <w:pStyle w:val="Caption"/>
        <w:jc w:val="center"/>
        <w:rPr>
          <w:noProof/>
        </w:rPr>
      </w:pPr>
      <w:r>
        <w:t xml:space="preserve">Figura </w:t>
      </w:r>
      <w:fldSimple w:instr=" SEQ Figura \* ARABIC ">
        <w:r>
          <w:rPr>
            <w:noProof/>
          </w:rPr>
          <w:t>12</w:t>
        </w:r>
      </w:fldSimple>
    </w:p>
    <w:p w:rsidR="004F430D" w:rsidRPr="004F430D" w:rsidRDefault="004F430D" w:rsidP="004F430D">
      <w:r>
        <w:t xml:space="preserve">Il diagramma UML in figura mostra l’implementazione proposta per l’utilizzo di servizi all’interno dell’architettura </w:t>
      </w:r>
      <w:proofErr w:type="spellStart"/>
      <w:r>
        <w:t>MyData</w:t>
      </w:r>
      <w:proofErr w:type="spellEnd"/>
      <w:r>
        <w:t xml:space="preserve">. L’interfaccia </w:t>
      </w:r>
      <w:proofErr w:type="spellStart"/>
      <w:r>
        <w:t>IService</w:t>
      </w:r>
      <w:proofErr w:type="spellEnd"/>
      <w:r>
        <w:t xml:space="preserve"> e la classe astratta </w:t>
      </w:r>
      <w:proofErr w:type="spellStart"/>
      <w:r>
        <w:t>AbstractService</w:t>
      </w:r>
      <w:proofErr w:type="spellEnd"/>
      <w:r>
        <w:t xml:space="preserve"> sono state realizzate al fine di mediare l’</w:t>
      </w:r>
      <w:r w:rsidR="002A1113">
        <w:t>interazione fra</w:t>
      </w:r>
      <w:r>
        <w:t xml:space="preserve"> servizio concreto (in questo caso </w:t>
      </w:r>
      <w:proofErr w:type="spellStart"/>
      <w:r>
        <w:t>MostLikelyNextTrip</w:t>
      </w:r>
      <w:proofErr w:type="spellEnd"/>
      <w:r>
        <w:t xml:space="preserve">) e </w:t>
      </w:r>
      <w:r w:rsidR="002A1113">
        <w:t>O</w:t>
      </w:r>
      <w:r>
        <w:t xml:space="preserve">peratore (ad esempio, classi </w:t>
      </w:r>
      <w:proofErr w:type="spellStart"/>
      <w:r>
        <w:t>ServiceRegistry</w:t>
      </w:r>
      <w:proofErr w:type="spellEnd"/>
      <w:r>
        <w:t xml:space="preserve"> o </w:t>
      </w:r>
      <w:proofErr w:type="spellStart"/>
      <w:r>
        <w:t>IMyData</w:t>
      </w:r>
      <w:proofErr w:type="spellEnd"/>
      <w:r>
        <w:t>). In</w:t>
      </w:r>
      <w:r w:rsidR="002A1113">
        <w:t xml:space="preserve"> questo senso, si può dire che la classe </w:t>
      </w:r>
      <w:proofErr w:type="spellStart"/>
      <w:r>
        <w:t>AbstractService</w:t>
      </w:r>
      <w:proofErr w:type="spellEnd"/>
      <w:r>
        <w:t xml:space="preserve"> </w:t>
      </w:r>
      <w:r w:rsidR="002A1113">
        <w:t xml:space="preserve">raccoglie a fattore comune le operazioni comuni a tutti i servizi, lasciando alle classi figlie il compito di realizzare solo le parti fortemente dipendenti dalla particolare business </w:t>
      </w:r>
      <w:proofErr w:type="spellStart"/>
      <w:r w:rsidR="002A1113">
        <w:t>logic</w:t>
      </w:r>
      <w:proofErr w:type="spellEnd"/>
      <w:r w:rsidR="002A1113">
        <w:t xml:space="preserve">. Per realizzare un nuovo servizio è necessario quindi creare una classe che estende </w:t>
      </w:r>
      <w:proofErr w:type="spellStart"/>
      <w:r w:rsidR="002A1113">
        <w:t>AbstractService</w:t>
      </w:r>
      <w:proofErr w:type="spellEnd"/>
      <w:r w:rsidR="002A1113">
        <w:t xml:space="preserve">: nel caso di studio, essa è la classe </w:t>
      </w:r>
      <w:proofErr w:type="spellStart"/>
      <w:r w:rsidR="002A1113">
        <w:t>MostLikelyNextTrip</w:t>
      </w:r>
      <w:proofErr w:type="spellEnd"/>
      <w:r w:rsidR="002A1113">
        <w:t>, che si interfaccia con il servizio di calcolo del prossimo viaggio più probabile[</w:t>
      </w:r>
      <w:proofErr w:type="spellStart"/>
      <w:r w:rsidR="002A1113">
        <w:t>cite</w:t>
      </w:r>
      <w:proofErr w:type="spellEnd"/>
      <w:r w:rsidR="002A1113">
        <w:t xml:space="preserve">] </w:t>
      </w:r>
      <w:proofErr w:type="spellStart"/>
      <w:r w:rsidR="002A1113">
        <w:t>SuggesterManager</w:t>
      </w:r>
      <w:proofErr w:type="spellEnd"/>
      <w:r w:rsidR="002A1113">
        <w:t>.</w:t>
      </w:r>
    </w:p>
    <w:p w:rsidR="00A30E21" w:rsidRDefault="00A30E21" w:rsidP="00A30E21">
      <w:pPr>
        <w:keepNext/>
        <w:jc w:val="center"/>
      </w:pPr>
      <w:r>
        <w:rPr>
          <w:noProof/>
        </w:rPr>
        <w:drawing>
          <wp:inline distT="0" distB="0" distL="0" distR="0">
            <wp:extent cx="5256530" cy="2178494"/>
            <wp:effectExtent l="0" t="0" r="1270" b="0"/>
            <wp:docPr id="15" name="Picture 15" descr="C:\Users\Giada\AppData\Local\Microsoft\Windows\INetCacheContent.Word\Servic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ada\AppData\Local\Microsoft\Windows\INetCacheContent.Word\Services-op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6530" cy="2178494"/>
                    </a:xfrm>
                    <a:prstGeom prst="rect">
                      <a:avLst/>
                    </a:prstGeom>
                    <a:noFill/>
                    <a:ln>
                      <a:noFill/>
                    </a:ln>
                  </pic:spPr>
                </pic:pic>
              </a:graphicData>
            </a:graphic>
          </wp:inline>
        </w:drawing>
      </w:r>
    </w:p>
    <w:p w:rsidR="002E733B" w:rsidRDefault="00A30E21" w:rsidP="002E733B">
      <w:pPr>
        <w:pStyle w:val="Caption"/>
        <w:jc w:val="center"/>
        <w:rPr>
          <w:noProof/>
        </w:rPr>
      </w:pPr>
      <w:r>
        <w:t xml:space="preserve">Figura </w:t>
      </w:r>
      <w:fldSimple w:instr=" SEQ Figura \* ARABIC ">
        <w:r>
          <w:rPr>
            <w:noProof/>
          </w:rPr>
          <w:t>13</w:t>
        </w:r>
      </w:fldSimple>
      <w:bookmarkStart w:id="42" w:name="_Toc466904566"/>
    </w:p>
    <w:p w:rsidR="002E733B" w:rsidRDefault="002E733B" w:rsidP="002E733B">
      <w:r>
        <w:t xml:space="preserve">Il livello più astratto di definizione dei servizi in </w:t>
      </w:r>
      <w:proofErr w:type="spellStart"/>
      <w:r>
        <w:t>MyData</w:t>
      </w:r>
      <w:proofErr w:type="spellEnd"/>
      <w:r>
        <w:t xml:space="preserve"> è rappresentato dall’interfaccia </w:t>
      </w:r>
      <w:proofErr w:type="spellStart"/>
      <w:r>
        <w:t>IService</w:t>
      </w:r>
      <w:proofErr w:type="spellEnd"/>
      <w:r>
        <w:t xml:space="preserve">, e permette il loro riferimento all’interno dell’architettura. Fra i metodi esposti si evidenziano </w:t>
      </w:r>
      <w:proofErr w:type="spellStart"/>
      <w:r>
        <w:t>provideService</w:t>
      </w:r>
      <w:proofErr w:type="spellEnd"/>
      <w:r w:rsidR="003C75A6">
        <w:t xml:space="preserve"> </w:t>
      </w:r>
      <w:r>
        <w:t>(</w:t>
      </w:r>
      <w:proofErr w:type="spellStart"/>
      <w:r>
        <w:t>IUser</w:t>
      </w:r>
      <w:proofErr w:type="spellEnd"/>
      <w:r>
        <w:t xml:space="preserve"> user) e </w:t>
      </w:r>
      <w:proofErr w:type="spellStart"/>
      <w:r>
        <w:t>gatherData</w:t>
      </w:r>
      <w:proofErr w:type="spellEnd"/>
      <w:r w:rsidR="003C75A6">
        <w:t xml:space="preserve"> </w:t>
      </w:r>
      <w:r>
        <w:t>(</w:t>
      </w:r>
      <w:proofErr w:type="spellStart"/>
      <w:r>
        <w:t>IUser</w:t>
      </w:r>
      <w:proofErr w:type="spellEnd"/>
      <w:r>
        <w:t xml:space="preserve"> user, </w:t>
      </w:r>
      <w:proofErr w:type="spellStart"/>
      <w:r>
        <w:t>dataSet</w:t>
      </w:r>
      <w:proofErr w:type="spellEnd"/>
      <w:r>
        <w:t xml:space="preserve"> </w:t>
      </w:r>
      <w:proofErr w:type="spellStart"/>
      <w:r>
        <w:t>IDataSet</w:t>
      </w:r>
      <w:proofErr w:type="spellEnd"/>
      <w:r>
        <w:t>), che costituiscono i punti di ingresso e di uscita del flusso di dati utilizzati e prodotti dal servizio.</w:t>
      </w:r>
    </w:p>
    <w:p w:rsidR="002E733B" w:rsidRDefault="003C75A6" w:rsidP="002E733B">
      <w:r>
        <w:lastRenderedPageBreak/>
        <w:t xml:space="preserve">L’interfaccia viene implementata parzialmente dalla classe </w:t>
      </w:r>
      <w:proofErr w:type="spellStart"/>
      <w:r>
        <w:t>AbstractService</w:t>
      </w:r>
      <w:proofErr w:type="spellEnd"/>
      <w:r>
        <w:t xml:space="preserve">. </w:t>
      </w:r>
    </w:p>
    <w:p w:rsidR="003C75A6" w:rsidRDefault="003C75A6" w:rsidP="002E733B">
      <w:r>
        <w:t xml:space="preserve">Il metodo </w:t>
      </w:r>
      <w:proofErr w:type="spellStart"/>
      <w:r>
        <w:t>provideService</w:t>
      </w:r>
      <w:proofErr w:type="spellEnd"/>
      <w:r>
        <w:t xml:space="preserve"> raccoglie a fattore comune la richiesta di un </w:t>
      </w:r>
      <w:proofErr w:type="spellStart"/>
      <w:r>
        <w:t>OutputDataConsent</w:t>
      </w:r>
      <w:proofErr w:type="spellEnd"/>
      <w:r>
        <w:t xml:space="preserve"> al </w:t>
      </w:r>
      <w:proofErr w:type="spellStart"/>
      <w:r>
        <w:t>ConsentManager</w:t>
      </w:r>
      <w:proofErr w:type="spellEnd"/>
      <w:r>
        <w:t xml:space="preserve">, seguita dall’effettiva richiesta di dati inoltrata al </w:t>
      </w:r>
      <w:proofErr w:type="spellStart"/>
      <w:r>
        <w:t>PersonalDataVault</w:t>
      </w:r>
      <w:proofErr w:type="spellEnd"/>
      <w:r>
        <w:t xml:space="preserve"> tramite una richiesta all’operatore </w:t>
      </w:r>
      <w:proofErr w:type="spellStart"/>
      <w:r>
        <w:t>MyData</w:t>
      </w:r>
      <w:proofErr w:type="spellEnd"/>
      <w:r>
        <w:t>. Infine, viene restituito</w:t>
      </w:r>
      <w:r w:rsidR="00AD7F9C">
        <w:t xml:space="preserve"> il risultato della chiamata alla funzione abstract</w:t>
      </w:r>
      <w:r>
        <w:t xml:space="preserve"> </w:t>
      </w:r>
      <w:proofErr w:type="spellStart"/>
      <w:r>
        <w:t>protected</w:t>
      </w:r>
      <w:proofErr w:type="spellEnd"/>
      <w:r>
        <w:t xml:space="preserve"> </w:t>
      </w:r>
      <w:proofErr w:type="spellStart"/>
      <w:r>
        <w:t>concreteService</w:t>
      </w:r>
      <w:proofErr w:type="spellEnd"/>
      <w:r w:rsidR="00AD7F9C">
        <w:t xml:space="preserve"> </w:t>
      </w:r>
      <w:r>
        <w:t>(</w:t>
      </w:r>
      <w:proofErr w:type="spellStart"/>
      <w:r>
        <w:t>IDataSet</w:t>
      </w:r>
      <w:proofErr w:type="spellEnd"/>
      <w:r>
        <w:t xml:space="preserve"> </w:t>
      </w:r>
      <w:proofErr w:type="spellStart"/>
      <w:r>
        <w:t>dataSet</w:t>
      </w:r>
      <w:proofErr w:type="spellEnd"/>
      <w:r>
        <w:t>)</w:t>
      </w:r>
      <w:r w:rsidR="00AD7F9C">
        <w:t xml:space="preserve">: la visibilità garantisce che dall’esterno venga chiamato solo il metodo esposto dall’interfaccia </w:t>
      </w:r>
      <w:proofErr w:type="spellStart"/>
      <w:r w:rsidR="00AD7F9C">
        <w:t>IService</w:t>
      </w:r>
      <w:proofErr w:type="spellEnd"/>
      <w:r w:rsidR="00AD7F9C">
        <w:t xml:space="preserve">. La signature astratta indica inoltre che questa funzione contiene l’effettiva implementazione della business </w:t>
      </w:r>
      <w:proofErr w:type="spellStart"/>
      <w:r w:rsidR="00AD7F9C">
        <w:t>logic</w:t>
      </w:r>
      <w:proofErr w:type="spellEnd"/>
      <w:r w:rsidR="00AD7F9C">
        <w:t xml:space="preserve">, delegata alle classi concrete che estendono </w:t>
      </w:r>
      <w:proofErr w:type="spellStart"/>
      <w:r w:rsidR="00AD7F9C">
        <w:t>AbstractService</w:t>
      </w:r>
      <w:proofErr w:type="spellEnd"/>
      <w:r w:rsidR="00AD7F9C">
        <w:t>.</w:t>
      </w:r>
    </w:p>
    <w:p w:rsidR="00AD7F9C" w:rsidRDefault="00AD7F9C" w:rsidP="002E733B">
      <w:r>
        <w:t>Il me</w:t>
      </w:r>
      <w:r w:rsidR="00840964">
        <w:t xml:space="preserve">todo </w:t>
      </w:r>
      <w:proofErr w:type="spellStart"/>
      <w:r w:rsidR="00840964">
        <w:t>gatherData</w:t>
      </w:r>
      <w:proofErr w:type="spellEnd"/>
      <w:r w:rsidR="00840964">
        <w:t xml:space="preserve"> segue la stessa sequenza di passi: la richiesta al </w:t>
      </w:r>
      <w:proofErr w:type="spellStart"/>
      <w:r w:rsidR="00840964">
        <w:t>ConsentManager</w:t>
      </w:r>
      <w:proofErr w:type="spellEnd"/>
      <w:r w:rsidR="00840964">
        <w:t xml:space="preserve"> di un </w:t>
      </w:r>
      <w:proofErr w:type="spellStart"/>
      <w:r w:rsidR="00840964">
        <w:t>InputDataConsent</w:t>
      </w:r>
      <w:proofErr w:type="spellEnd"/>
      <w:r w:rsidR="00840964">
        <w:t xml:space="preserve"> e l’interazione con il </w:t>
      </w:r>
      <w:proofErr w:type="spellStart"/>
      <w:r w:rsidR="00840964">
        <w:t>PersonalDataVault</w:t>
      </w:r>
      <w:proofErr w:type="spellEnd"/>
      <w:r w:rsidR="00840964">
        <w:t xml:space="preserve"> mediante Operatore </w:t>
      </w:r>
      <w:proofErr w:type="spellStart"/>
      <w:r w:rsidR="00840964">
        <w:t>MyData</w:t>
      </w:r>
      <w:proofErr w:type="spellEnd"/>
      <w:r w:rsidR="00840964">
        <w:t xml:space="preserve"> sono però preceduti da alcuni controlli sui dati in ingresso, al fine di verificare la legittimità della richiesta.</w:t>
      </w:r>
    </w:p>
    <w:p w:rsidR="00840964" w:rsidRDefault="00840964" w:rsidP="002E733B">
      <w:r>
        <w:t xml:space="preserve">Fra i metodi astratti si evidenzia infine </w:t>
      </w:r>
      <w:proofErr w:type="spellStart"/>
      <w:r>
        <w:t>registerService</w:t>
      </w:r>
      <w:proofErr w:type="spellEnd"/>
      <w:r>
        <w:t>(), da invocare all’interno del costruttore della classe figlia.</w:t>
      </w:r>
      <w:r w:rsidR="00EF2CB7">
        <w:t xml:space="preserve"> Durante la chiamata a procedura, il servizio concreto specifica quali tipi di dato utilizzerà mediante l’utilizzo delle costanti descritte in dettaglio nella sezione 5.7.</w:t>
      </w:r>
    </w:p>
    <w:p w:rsidR="00EF2CB7" w:rsidRPr="002E733B" w:rsidRDefault="00EF2CB7" w:rsidP="002E733B">
      <w:r>
        <w:t xml:space="preserve">Della classe implementativa </w:t>
      </w:r>
      <w:proofErr w:type="spellStart"/>
      <w:r>
        <w:t>MostLikelyNextTrip</w:t>
      </w:r>
      <w:proofErr w:type="spellEnd"/>
      <w:r>
        <w:t xml:space="preserve"> si evidenzia solo la presenza dello stato interno, dove sono contenuti il nome, identificatore unico del servizio, e</w:t>
      </w:r>
      <w:r w:rsidR="007858D3">
        <w:t xml:space="preserve"> il Set&lt;</w:t>
      </w:r>
      <w:proofErr w:type="spellStart"/>
      <w:r w:rsidR="007858D3">
        <w:t>String</w:t>
      </w:r>
      <w:proofErr w:type="spellEnd"/>
      <w:r w:rsidR="007858D3">
        <w:t>&gt; che contiene i tipi di dato utilizzati dal servizio.</w:t>
      </w:r>
    </w:p>
    <w:p w:rsidR="00A30E21" w:rsidRDefault="00A30E21" w:rsidP="00A30E21">
      <w:pPr>
        <w:pStyle w:val="Heading2"/>
      </w:pPr>
      <w:r>
        <w:lastRenderedPageBreak/>
        <w:t>5.10 ServiceRegistry</w:t>
      </w:r>
      <w:bookmarkEnd w:id="42"/>
    </w:p>
    <w:p w:rsidR="00A30E21" w:rsidRDefault="00A30E21" w:rsidP="00A30E21">
      <w:pPr>
        <w:keepNext/>
        <w:jc w:val="center"/>
      </w:pPr>
      <w:r>
        <w:rPr>
          <w:noProof/>
        </w:rPr>
        <w:drawing>
          <wp:inline distT="0" distB="0" distL="0" distR="0">
            <wp:extent cx="3467735" cy="3218180"/>
            <wp:effectExtent l="0" t="0" r="0" b="1270"/>
            <wp:docPr id="16" name="Picture 16" descr="C:\Users\Giada\AppData\Local\Microsoft\Windows\INetCacheContent.Word\Service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ada\AppData\Local\Microsoft\Windows\INetCacheContent.Word\ServiceRegist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735" cy="3218180"/>
                    </a:xfrm>
                    <a:prstGeom prst="rect">
                      <a:avLst/>
                    </a:prstGeom>
                    <a:noFill/>
                    <a:ln>
                      <a:noFill/>
                    </a:ln>
                  </pic:spPr>
                </pic:pic>
              </a:graphicData>
            </a:graphic>
          </wp:inline>
        </w:drawing>
      </w:r>
    </w:p>
    <w:p w:rsidR="00A30E21" w:rsidRDefault="00A30E21" w:rsidP="00A30E21">
      <w:pPr>
        <w:pStyle w:val="Caption"/>
        <w:jc w:val="center"/>
        <w:rPr>
          <w:noProof/>
        </w:rPr>
      </w:pPr>
      <w:r>
        <w:t xml:space="preserve">Figura </w:t>
      </w:r>
      <w:fldSimple w:instr=" SEQ Figura \* ARABIC ">
        <w:r>
          <w:rPr>
            <w:noProof/>
          </w:rPr>
          <w:t>14</w:t>
        </w:r>
      </w:fldSimple>
    </w:p>
    <w:p w:rsidR="001879BC" w:rsidRDefault="001879BC" w:rsidP="001879BC">
      <w:r>
        <w:t xml:space="preserve">Ogni servizio che voglia essere utilizzabile all’interno dell’infrastruttura </w:t>
      </w:r>
      <w:proofErr w:type="spellStart"/>
      <w:r>
        <w:t>MyData</w:t>
      </w:r>
      <w:proofErr w:type="spellEnd"/>
      <w:r>
        <w:t xml:space="preserve"> deve, per prima cosa, registrarsi all’interno del Service </w:t>
      </w:r>
      <w:proofErr w:type="spellStart"/>
      <w:r>
        <w:t>Registry</w:t>
      </w:r>
      <w:proofErr w:type="spellEnd"/>
      <w:r>
        <w:t xml:space="preserve">. In fase di registrazione, ogni servizio dichiara inoltre i tipi di dato necessari per il suo funzionamento, al fine di agevolare gli scambi di dati con altre entità dell’infrastruttura, siano esse Source o </w:t>
      </w:r>
      <w:proofErr w:type="spellStart"/>
      <w:r>
        <w:t>Sink</w:t>
      </w:r>
      <w:proofErr w:type="spellEnd"/>
      <w:r>
        <w:t>.</w:t>
      </w:r>
    </w:p>
    <w:p w:rsidR="001879BC" w:rsidRDefault="001879BC" w:rsidP="001879BC">
      <w:r>
        <w:t xml:space="preserve">Per questo motivo, la classe </w:t>
      </w:r>
      <w:proofErr w:type="spellStart"/>
      <w:r>
        <w:t>ServiceRegistry</w:t>
      </w:r>
      <w:proofErr w:type="spellEnd"/>
      <w:r>
        <w:t xml:space="preserve"> ha come responsabilità fondamentale quella di mantenere al suo interno le corrispondenze fra i servizi registrati e i tipi di dato: ciò viene realizzato mediante l’utilizzo di una </w:t>
      </w:r>
      <w:proofErr w:type="spellStart"/>
      <w:r>
        <w:t>Map</w:t>
      </w:r>
      <w:proofErr w:type="spellEnd"/>
      <w:r>
        <w:t>&lt;</w:t>
      </w:r>
      <w:proofErr w:type="spellStart"/>
      <w:r>
        <w:t>IService</w:t>
      </w:r>
      <w:proofErr w:type="spellEnd"/>
      <w:r>
        <w:t>, Set&lt;</w:t>
      </w:r>
      <w:proofErr w:type="spellStart"/>
      <w:r>
        <w:t>String</w:t>
      </w:r>
      <w:proofErr w:type="spellEnd"/>
      <w:r>
        <w:t>&gt;&gt;.</w:t>
      </w:r>
    </w:p>
    <w:p w:rsidR="001879BC" w:rsidRPr="001879BC" w:rsidRDefault="001879BC" w:rsidP="001879BC">
      <w:r>
        <w:t xml:space="preserve">Come per la classe </w:t>
      </w:r>
      <w:proofErr w:type="spellStart"/>
      <w:r>
        <w:t>ConsentManager</w:t>
      </w:r>
      <w:proofErr w:type="spellEnd"/>
      <w:r>
        <w:t xml:space="preserve"> (analizzata più in dettaglio nella sottosezione 551)</w:t>
      </w:r>
      <w:r w:rsidR="00533925">
        <w:t xml:space="preserve">, anche in questo caso ho cercato di rendere il Service </w:t>
      </w:r>
      <w:proofErr w:type="spellStart"/>
      <w:r w:rsidR="00533925">
        <w:t>Registry</w:t>
      </w:r>
      <w:proofErr w:type="spellEnd"/>
      <w:r w:rsidR="00533925">
        <w:t xml:space="preserve"> il più possibile indipendente tramite l’uso di metodi statici e la scelta di un costruttore privato. I metodi </w:t>
      </w:r>
      <w:proofErr w:type="spellStart"/>
      <w:r w:rsidR="00533925" w:rsidRPr="00533925">
        <w:t>registerService</w:t>
      </w:r>
      <w:proofErr w:type="spellEnd"/>
      <w:r w:rsidR="00533925" w:rsidRPr="00533925">
        <w:t>(</w:t>
      </w:r>
      <w:proofErr w:type="spellStart"/>
      <w:r w:rsidR="00533925" w:rsidRPr="00533925">
        <w:t>IService</w:t>
      </w:r>
      <w:proofErr w:type="spellEnd"/>
      <w:r w:rsidR="00533925" w:rsidRPr="00533925">
        <w:t xml:space="preserve"> service, Set&lt;</w:t>
      </w:r>
      <w:proofErr w:type="spellStart"/>
      <w:r w:rsidR="00533925" w:rsidRPr="00533925">
        <w:t>String</w:t>
      </w:r>
      <w:proofErr w:type="spellEnd"/>
      <w:r w:rsidR="00533925" w:rsidRPr="00533925">
        <w:t xml:space="preserve">&gt; </w:t>
      </w:r>
      <w:proofErr w:type="spellStart"/>
      <w:r w:rsidR="00533925" w:rsidRPr="00533925">
        <w:t>types</w:t>
      </w:r>
      <w:proofErr w:type="spellEnd"/>
      <w:r w:rsidR="00533925" w:rsidRPr="00533925">
        <w:t>)</w:t>
      </w:r>
      <w:r w:rsidR="00533925" w:rsidRPr="00533925">
        <w:t xml:space="preserve"> e </w:t>
      </w:r>
      <w:r w:rsidR="00533925" w:rsidRPr="00533925">
        <w:t>Set&lt;</w:t>
      </w:r>
      <w:proofErr w:type="spellStart"/>
      <w:r w:rsidR="00533925" w:rsidRPr="00533925">
        <w:t>String</w:t>
      </w:r>
      <w:proofErr w:type="spellEnd"/>
      <w:r w:rsidR="00533925" w:rsidRPr="00533925">
        <w:t xml:space="preserve">&gt; </w:t>
      </w:r>
      <w:proofErr w:type="spellStart"/>
      <w:r w:rsidR="00533925" w:rsidRPr="00533925">
        <w:t>getMetadataForService</w:t>
      </w:r>
      <w:proofErr w:type="spellEnd"/>
      <w:r w:rsidR="00533925" w:rsidRPr="00533925">
        <w:t>(</w:t>
      </w:r>
      <w:proofErr w:type="spellStart"/>
      <w:r w:rsidR="00533925" w:rsidRPr="00533925">
        <w:t>IService</w:t>
      </w:r>
      <w:proofErr w:type="spellEnd"/>
      <w:r w:rsidR="00533925" w:rsidRPr="00533925">
        <w:t xml:space="preserve"> service)</w:t>
      </w:r>
      <w:r w:rsidR="00533925">
        <w:t xml:space="preserve"> incapsulano quelli di basso livello esposti dalla struttura dati </w:t>
      </w:r>
      <w:proofErr w:type="spellStart"/>
      <w:r w:rsidR="00533925">
        <w:t>Map</w:t>
      </w:r>
      <w:proofErr w:type="spellEnd"/>
      <w:r w:rsidR="00533925">
        <w:t xml:space="preserve">, aggiungendo gli opportuni controlli sui parametri in ingresso. In particolare, è possibile registrare un servizio mediante la procedura </w:t>
      </w:r>
      <w:proofErr w:type="spellStart"/>
      <w:r w:rsidR="00533925">
        <w:t>registerService</w:t>
      </w:r>
      <w:proofErr w:type="spellEnd"/>
      <w:r w:rsidR="00533925">
        <w:t xml:space="preserve">, e ottenere i tipi di dato registrati mediante la funzione </w:t>
      </w:r>
      <w:proofErr w:type="spellStart"/>
      <w:r w:rsidR="00533925" w:rsidRPr="00533925">
        <w:t>getMetadataForService</w:t>
      </w:r>
      <w:proofErr w:type="spellEnd"/>
      <w:r w:rsidR="00533925">
        <w:t xml:space="preserve">. </w:t>
      </w:r>
    </w:p>
    <w:p w:rsidR="009F0182" w:rsidRDefault="00A30E21" w:rsidP="009F0182">
      <w:pPr>
        <w:pStyle w:val="Heading2"/>
      </w:pPr>
      <w:bookmarkStart w:id="43" w:name="_Toc466904567"/>
      <w:r>
        <w:lastRenderedPageBreak/>
        <w:t>5.11</w:t>
      </w:r>
      <w:r w:rsidR="009F0182">
        <w:t xml:space="preserve"> Uso delle eccezioni</w:t>
      </w:r>
      <w:bookmarkEnd w:id="43"/>
    </w:p>
    <w:p w:rsidR="00C24321" w:rsidRDefault="009958C1" w:rsidP="000D3BF9">
      <w:r>
        <w:t>All’interno del gestore di dati personali sviluppato nell’ambito della tesi in oggetto, è di importanza non trascurabile il controllo della legittimità delle operazioni da eseguire, degli argomenti in ingresso alle funzioni o degli stati in cui si trova il gestore stesso.</w:t>
      </w:r>
      <w:r w:rsidR="00146C35">
        <w:t xml:space="preserve"> Pertanto, è necessario uno strumento che permetta di descrivere il verificarsi di situazioni non previste o illegittime, impedendo la continuazione del flusso del programma.</w:t>
      </w:r>
      <w:r w:rsidR="00C24321">
        <w:t xml:space="preserve"> Questa situazione è diversa, ad esempio, dal caso in cui l’invocazione di un metodo è legittima ma non produce alcuni risultato, poiché è di fondamentale importanza che l’esecuzione termini.</w:t>
      </w:r>
    </w:p>
    <w:p w:rsidR="0084297A" w:rsidRDefault="00C24321" w:rsidP="000D3BF9">
      <w:r>
        <w:t xml:space="preserve">Lo strumento utilizzato per ottenere questa caratteristica sono le Java </w:t>
      </w:r>
      <w:proofErr w:type="spellStart"/>
      <w:r>
        <w:t>Exception</w:t>
      </w:r>
      <w:proofErr w:type="spellEnd"/>
      <w:r>
        <w:t>, ed in p</w:t>
      </w:r>
      <w:r w:rsidR="009A4940">
        <w:t xml:space="preserve">articolare le sottoclassi di </w:t>
      </w:r>
      <w:proofErr w:type="spellStart"/>
      <w:r w:rsidR="009A4940">
        <w:t>RuntimeException</w:t>
      </w:r>
      <w:proofErr w:type="spellEnd"/>
      <w:r w:rsidR="009A4940">
        <w:t xml:space="preserve"> </w:t>
      </w:r>
      <w:proofErr w:type="spellStart"/>
      <w:r w:rsidR="009A4940">
        <w:t>IllegalArgumentException</w:t>
      </w:r>
      <w:proofErr w:type="spellEnd"/>
      <w:r w:rsidR="009A4940">
        <w:t xml:space="preserve"> e </w:t>
      </w:r>
      <w:proofErr w:type="spellStart"/>
      <w:r w:rsidR="009A4940">
        <w:t>IllegalStateException</w:t>
      </w:r>
      <w:proofErr w:type="spellEnd"/>
      <w:r w:rsidR="009A4940">
        <w:t xml:space="preserve">. </w:t>
      </w:r>
    </w:p>
    <w:p w:rsidR="009B2B07" w:rsidRPr="009B2B07" w:rsidRDefault="009B2B07" w:rsidP="000D3BF9">
      <w:r>
        <w:t xml:space="preserve">Fra di esse, </w:t>
      </w:r>
      <w:proofErr w:type="spellStart"/>
      <w:r>
        <w:t>IllegalStateException</w:t>
      </w:r>
      <w:proofErr w:type="spellEnd"/>
      <w:r>
        <w:t xml:space="preserve"> è descritta all’interno della documentazione Java nel modo seguente: “</w:t>
      </w:r>
      <w:proofErr w:type="spellStart"/>
      <w:r>
        <w:t>Signals</w:t>
      </w:r>
      <w:proofErr w:type="spellEnd"/>
      <w:r>
        <w:t xml:space="preserve"> </w:t>
      </w:r>
      <w:proofErr w:type="spellStart"/>
      <w:r>
        <w:t>that</w:t>
      </w:r>
      <w:proofErr w:type="spellEnd"/>
      <w:r>
        <w:t xml:space="preserve"> a </w:t>
      </w:r>
      <w:proofErr w:type="spellStart"/>
      <w:r>
        <w:t>method</w:t>
      </w:r>
      <w:proofErr w:type="spellEnd"/>
      <w:r>
        <w:t xml:space="preserve"> </w:t>
      </w:r>
      <w:proofErr w:type="spellStart"/>
      <w:r>
        <w:t>has</w:t>
      </w:r>
      <w:proofErr w:type="spellEnd"/>
      <w:r>
        <w:t xml:space="preserve"> </w:t>
      </w:r>
      <w:proofErr w:type="spellStart"/>
      <w:r>
        <w:t>been</w:t>
      </w:r>
      <w:proofErr w:type="spellEnd"/>
      <w:r>
        <w:t xml:space="preserve"> </w:t>
      </w:r>
      <w:proofErr w:type="spellStart"/>
      <w:r>
        <w:t>invoked</w:t>
      </w:r>
      <w:proofErr w:type="spellEnd"/>
      <w:r>
        <w:t xml:space="preserve"> </w:t>
      </w:r>
      <w:proofErr w:type="spellStart"/>
      <w:r>
        <w:t>at</w:t>
      </w:r>
      <w:proofErr w:type="spellEnd"/>
      <w:r>
        <w:t xml:space="preserve"> an </w:t>
      </w:r>
      <w:proofErr w:type="spellStart"/>
      <w:r>
        <w:t>illegal</w:t>
      </w:r>
      <w:proofErr w:type="spellEnd"/>
      <w:r>
        <w:t xml:space="preserve"> or inappropriate time. </w:t>
      </w:r>
      <w:r w:rsidRPr="009B2B07">
        <w:rPr>
          <w:lang w:val="en-GB"/>
        </w:rPr>
        <w:t>In other words, the Java environment or Java application is not in an appropriate st</w:t>
      </w:r>
      <w:r>
        <w:rPr>
          <w:lang w:val="en-GB"/>
        </w:rPr>
        <w:t xml:space="preserve">ate for the requested operation”. </w:t>
      </w:r>
      <w:r w:rsidRPr="009B2B07">
        <w:t xml:space="preserve">Ho valutato quindi che questa eccezione fosse adeguata </w:t>
      </w:r>
      <w:r>
        <w:t xml:space="preserve">in tutti quei casi in cui l’invocazione di un metodo non può essere portata a termine a causa di </w:t>
      </w:r>
      <w:proofErr w:type="spellStart"/>
      <w:r>
        <w:t>Consent</w:t>
      </w:r>
      <w:proofErr w:type="spellEnd"/>
      <w:r>
        <w:t xml:space="preserve"> non adeguati.</w:t>
      </w:r>
      <w:r w:rsidR="0084297A">
        <w:t xml:space="preserve"> Un esempio può essere la richiesta di un nuovo </w:t>
      </w:r>
      <w:proofErr w:type="spellStart"/>
      <w:r w:rsidR="0084297A">
        <w:t>DataConsent</w:t>
      </w:r>
      <w:proofErr w:type="spellEnd"/>
      <w:r w:rsidR="0084297A">
        <w:t xml:space="preserve"> nel caso in cui non vi sia un </w:t>
      </w:r>
      <w:proofErr w:type="spellStart"/>
      <w:r w:rsidR="0084297A">
        <w:t>ServiceConsent</w:t>
      </w:r>
      <w:proofErr w:type="spellEnd"/>
      <w:r w:rsidR="0084297A">
        <w:t xml:space="preserve"> attivo in quel momento.</w:t>
      </w:r>
    </w:p>
    <w:p w:rsidR="0084297A" w:rsidRDefault="0084297A" w:rsidP="000D3BF9">
      <w:r>
        <w:t>L</w:t>
      </w:r>
      <w:r w:rsidR="009A4940">
        <w:t xml:space="preserve">’uso di </w:t>
      </w:r>
      <w:proofErr w:type="spellStart"/>
      <w:r w:rsidR="009A4940">
        <w:t>IllegalArgumentException</w:t>
      </w:r>
      <w:proofErr w:type="spellEnd"/>
      <w:r w:rsidR="009A4940">
        <w:t xml:space="preserve"> è convenzionalmente limitato al controllo dei parametri in ingresso </w:t>
      </w:r>
      <w:r w:rsidR="009B2B07">
        <w:t xml:space="preserve">ai metodi, </w:t>
      </w:r>
      <w:r>
        <w:t xml:space="preserve">in aderenza a quanto dichiarato sulla documentazione Java. </w:t>
      </w:r>
      <w:r w:rsidR="005C2526">
        <w:t>Fra le</w:t>
      </w:r>
      <w:r>
        <w:t xml:space="preserve"> </w:t>
      </w:r>
      <w:proofErr w:type="spellStart"/>
      <w:r>
        <w:t>RuntimeException</w:t>
      </w:r>
      <w:proofErr w:type="spellEnd"/>
      <w:r>
        <w:t xml:space="preserve"> utilizzat</w:t>
      </w:r>
      <w:r w:rsidR="005C2526">
        <w:t>e</w:t>
      </w:r>
      <w:r>
        <w:t xml:space="preserve"> è</w:t>
      </w:r>
      <w:r w:rsidR="005C2526">
        <w:t xml:space="preserve"> presente anche</w:t>
      </w:r>
      <w:r>
        <w:t xml:space="preserve"> </w:t>
      </w:r>
      <w:proofErr w:type="spellStart"/>
      <w:r>
        <w:t>SecurityException</w:t>
      </w:r>
      <w:proofErr w:type="spellEnd"/>
      <w:r>
        <w:t>, invocata ogni volta in cui un parametro o controllo di sicurezza non è verificato.</w:t>
      </w:r>
    </w:p>
    <w:p w:rsidR="000807A8" w:rsidRDefault="0084297A" w:rsidP="000D3BF9">
      <w:r>
        <w:t xml:space="preserve">Un aspetto importante dell’uso delle eccezioni è stata la loro collocazione all’interno dello </w:t>
      </w:r>
      <w:proofErr w:type="spellStart"/>
      <w:r>
        <w:t>stack</w:t>
      </w:r>
      <w:proofErr w:type="spellEnd"/>
      <w:r>
        <w:t xml:space="preserve"> delle invocazioni di metodi. </w:t>
      </w:r>
      <w:r w:rsidR="00D7044B">
        <w:t xml:space="preserve">Si prenda di nuovo come esempio il caso di richiesta di un nuovo </w:t>
      </w:r>
      <w:proofErr w:type="spellStart"/>
      <w:r w:rsidR="00D7044B">
        <w:t>DataConsent</w:t>
      </w:r>
      <w:proofErr w:type="spellEnd"/>
      <w:r w:rsidR="00D7044B">
        <w:t xml:space="preserve">: è noto a priori che la precondizione per ottenerlo richiede l’esistenza di un </w:t>
      </w:r>
      <w:proofErr w:type="spellStart"/>
      <w:r w:rsidR="00D7044B">
        <w:t>ServiceConsent</w:t>
      </w:r>
      <w:proofErr w:type="spellEnd"/>
      <w:r w:rsidR="00D7044B">
        <w:t xml:space="preserve"> attivo in quel momento. Questa eventualità è controllata all’interno della classe </w:t>
      </w:r>
      <w:proofErr w:type="spellStart"/>
      <w:r w:rsidR="00D7044B">
        <w:t>ConsentManager</w:t>
      </w:r>
      <w:proofErr w:type="spellEnd"/>
      <w:r w:rsidR="00D7044B">
        <w:t xml:space="preserve"> mediante l’uso di una </w:t>
      </w:r>
      <w:proofErr w:type="spellStart"/>
      <w:r w:rsidR="00D7044B">
        <w:t>IllegalStateException</w:t>
      </w:r>
      <w:proofErr w:type="spellEnd"/>
      <w:r w:rsidR="00D7044B">
        <w:t xml:space="preserve">. Tuttavia esiste un sotto-caso che, pur rientrando a pieno titolo nell’insieme di situazioni non corrette (mancanza di un </w:t>
      </w:r>
      <w:proofErr w:type="spellStart"/>
      <w:r w:rsidR="00D7044B">
        <w:t>ServiceConsent</w:t>
      </w:r>
      <w:proofErr w:type="spellEnd"/>
      <w:r w:rsidR="00D7044B">
        <w:t xml:space="preserve"> attivo) merita di essere differenziato per il suo valore semantico. Si tratta infatti del caso in cui </w:t>
      </w:r>
      <w:r w:rsidR="00D7044B">
        <w:lastRenderedPageBreak/>
        <w:t xml:space="preserve">l’utente per cui si sta facendo richiesta non sia registrato presso il servizio: il </w:t>
      </w:r>
      <w:proofErr w:type="spellStart"/>
      <w:r w:rsidR="00D7044B">
        <w:t>ServiceConsent</w:t>
      </w:r>
      <w:proofErr w:type="spellEnd"/>
      <w:r w:rsidR="00D7044B">
        <w:t xml:space="preserve"> non ha stato Active perché in realtà non ne è stato emesso alcuno. Al fine di controllare anche questa eventualità è opportuno inserire una eccezione nella classe </w:t>
      </w:r>
      <w:proofErr w:type="spellStart"/>
      <w:r w:rsidR="00D7044B">
        <w:t>MyDataUser</w:t>
      </w:r>
      <w:proofErr w:type="spellEnd"/>
      <w:r w:rsidR="00D7044B">
        <w:t xml:space="preserve">, non </w:t>
      </w:r>
      <w:proofErr w:type="spellStart"/>
      <w:r w:rsidR="00D7044B">
        <w:t>ConsentManager</w:t>
      </w:r>
      <w:proofErr w:type="spellEnd"/>
      <w:r w:rsidR="005C2526">
        <w:t>, in quanto essa rientra all’interno delle sue responsabilità.</w:t>
      </w:r>
    </w:p>
    <w:p w:rsidR="00EF0A1D" w:rsidRDefault="00EF0A1D" w:rsidP="00EF0A1D">
      <w:pPr>
        <w:pStyle w:val="Heading2"/>
      </w:pPr>
      <w:r>
        <w:t>Graphical User Interface</w:t>
      </w:r>
    </w:p>
    <w:p w:rsidR="00EF0A1D" w:rsidRPr="00EF0A1D" w:rsidRDefault="00EF0A1D" w:rsidP="00EF0A1D">
      <w:r>
        <w:t xml:space="preserve">Per la realizzazione dell’interfaccia grafica del gestore di dati personali ho scelto il design pattern </w:t>
      </w:r>
      <w:r w:rsidR="00584540">
        <w:t xml:space="preserve">Model </w:t>
      </w:r>
      <w:proofErr w:type="spellStart"/>
      <w:r w:rsidR="00584540">
        <w:t>View</w:t>
      </w:r>
      <w:proofErr w:type="spellEnd"/>
      <w:r w:rsidR="00584540">
        <w:t xml:space="preserve"> Controller. Coerentemente con quanto </w:t>
      </w:r>
      <w:r w:rsidR="005841EA">
        <w:t>esposto finora</w:t>
      </w:r>
      <w:r w:rsidR="00880EF3">
        <w:t xml:space="preserve">, </w:t>
      </w:r>
      <w:bookmarkStart w:id="44" w:name="_GoBack"/>
      <w:bookmarkEnd w:id="44"/>
    </w:p>
    <w:sectPr w:rsidR="00EF0A1D" w:rsidRPr="00EF0A1D"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325A1"/>
    <w:rsid w:val="00054861"/>
    <w:rsid w:val="00065558"/>
    <w:rsid w:val="00077A65"/>
    <w:rsid w:val="000807A8"/>
    <w:rsid w:val="000A0BA4"/>
    <w:rsid w:val="000A1629"/>
    <w:rsid w:val="000C341F"/>
    <w:rsid w:val="000C62DA"/>
    <w:rsid w:val="000C71B7"/>
    <w:rsid w:val="000D016A"/>
    <w:rsid w:val="000D3BF9"/>
    <w:rsid w:val="00100CA9"/>
    <w:rsid w:val="001207A7"/>
    <w:rsid w:val="00131052"/>
    <w:rsid w:val="0013523F"/>
    <w:rsid w:val="00146C35"/>
    <w:rsid w:val="0015021B"/>
    <w:rsid w:val="0017795C"/>
    <w:rsid w:val="001812C3"/>
    <w:rsid w:val="00183EDC"/>
    <w:rsid w:val="00186DEC"/>
    <w:rsid w:val="001879BC"/>
    <w:rsid w:val="001A37BA"/>
    <w:rsid w:val="001A5A64"/>
    <w:rsid w:val="001B1E26"/>
    <w:rsid w:val="001C0B31"/>
    <w:rsid w:val="001C50A9"/>
    <w:rsid w:val="001D4E8E"/>
    <w:rsid w:val="001F2095"/>
    <w:rsid w:val="001F69A2"/>
    <w:rsid w:val="00243275"/>
    <w:rsid w:val="00251910"/>
    <w:rsid w:val="00252316"/>
    <w:rsid w:val="002569D5"/>
    <w:rsid w:val="002629AF"/>
    <w:rsid w:val="00262C4F"/>
    <w:rsid w:val="00285308"/>
    <w:rsid w:val="002A1113"/>
    <w:rsid w:val="002A7AFD"/>
    <w:rsid w:val="002E478A"/>
    <w:rsid w:val="002E733B"/>
    <w:rsid w:val="002F2BF1"/>
    <w:rsid w:val="002F76B4"/>
    <w:rsid w:val="00314770"/>
    <w:rsid w:val="003276EF"/>
    <w:rsid w:val="00333AEA"/>
    <w:rsid w:val="00340AF4"/>
    <w:rsid w:val="00362547"/>
    <w:rsid w:val="00364C63"/>
    <w:rsid w:val="003658A5"/>
    <w:rsid w:val="0036731E"/>
    <w:rsid w:val="00371985"/>
    <w:rsid w:val="00383011"/>
    <w:rsid w:val="003A48E5"/>
    <w:rsid w:val="003A60A0"/>
    <w:rsid w:val="003B1942"/>
    <w:rsid w:val="003C75A6"/>
    <w:rsid w:val="003D2B17"/>
    <w:rsid w:val="003D4235"/>
    <w:rsid w:val="003F0362"/>
    <w:rsid w:val="00411B9E"/>
    <w:rsid w:val="004169FE"/>
    <w:rsid w:val="00417126"/>
    <w:rsid w:val="00420006"/>
    <w:rsid w:val="00420A91"/>
    <w:rsid w:val="00433D29"/>
    <w:rsid w:val="00442454"/>
    <w:rsid w:val="004553EA"/>
    <w:rsid w:val="004677E4"/>
    <w:rsid w:val="00470F4F"/>
    <w:rsid w:val="004843A2"/>
    <w:rsid w:val="00487430"/>
    <w:rsid w:val="004A7609"/>
    <w:rsid w:val="004A79BD"/>
    <w:rsid w:val="004A7CD3"/>
    <w:rsid w:val="004C2F10"/>
    <w:rsid w:val="004F0568"/>
    <w:rsid w:val="004F430D"/>
    <w:rsid w:val="004F6C2A"/>
    <w:rsid w:val="00502E06"/>
    <w:rsid w:val="00504333"/>
    <w:rsid w:val="005219DB"/>
    <w:rsid w:val="005314B2"/>
    <w:rsid w:val="00533925"/>
    <w:rsid w:val="00537F60"/>
    <w:rsid w:val="005421DE"/>
    <w:rsid w:val="00550A03"/>
    <w:rsid w:val="00556A34"/>
    <w:rsid w:val="005841EA"/>
    <w:rsid w:val="00584540"/>
    <w:rsid w:val="00584CF5"/>
    <w:rsid w:val="005911FD"/>
    <w:rsid w:val="00595172"/>
    <w:rsid w:val="005A6E41"/>
    <w:rsid w:val="005B00CF"/>
    <w:rsid w:val="005B6953"/>
    <w:rsid w:val="005C2526"/>
    <w:rsid w:val="005D314D"/>
    <w:rsid w:val="00600C9D"/>
    <w:rsid w:val="00604932"/>
    <w:rsid w:val="00605BED"/>
    <w:rsid w:val="0062233E"/>
    <w:rsid w:val="00631F80"/>
    <w:rsid w:val="0064248E"/>
    <w:rsid w:val="00655CAC"/>
    <w:rsid w:val="0065762F"/>
    <w:rsid w:val="00670BEE"/>
    <w:rsid w:val="00670EE9"/>
    <w:rsid w:val="00687B6C"/>
    <w:rsid w:val="0069727F"/>
    <w:rsid w:val="006A1EEE"/>
    <w:rsid w:val="006B377B"/>
    <w:rsid w:val="006B5536"/>
    <w:rsid w:val="006B56D7"/>
    <w:rsid w:val="006C33C4"/>
    <w:rsid w:val="007279B5"/>
    <w:rsid w:val="00730669"/>
    <w:rsid w:val="00742CB0"/>
    <w:rsid w:val="007605E6"/>
    <w:rsid w:val="00772F32"/>
    <w:rsid w:val="00773DA1"/>
    <w:rsid w:val="00785511"/>
    <w:rsid w:val="007858D3"/>
    <w:rsid w:val="00796010"/>
    <w:rsid w:val="007977EA"/>
    <w:rsid w:val="007B0F34"/>
    <w:rsid w:val="007B164D"/>
    <w:rsid w:val="007E5BD1"/>
    <w:rsid w:val="007F52C5"/>
    <w:rsid w:val="00812F33"/>
    <w:rsid w:val="00824A9B"/>
    <w:rsid w:val="00827503"/>
    <w:rsid w:val="00832E0D"/>
    <w:rsid w:val="00837B11"/>
    <w:rsid w:val="00840964"/>
    <w:rsid w:val="0084297A"/>
    <w:rsid w:val="00847EAE"/>
    <w:rsid w:val="00874264"/>
    <w:rsid w:val="00880EF3"/>
    <w:rsid w:val="00881962"/>
    <w:rsid w:val="008856FC"/>
    <w:rsid w:val="00892E4A"/>
    <w:rsid w:val="008B6956"/>
    <w:rsid w:val="008C03C6"/>
    <w:rsid w:val="008C0472"/>
    <w:rsid w:val="008C5124"/>
    <w:rsid w:val="008E0151"/>
    <w:rsid w:val="00901995"/>
    <w:rsid w:val="00910790"/>
    <w:rsid w:val="00916656"/>
    <w:rsid w:val="009244C0"/>
    <w:rsid w:val="00937916"/>
    <w:rsid w:val="009521EC"/>
    <w:rsid w:val="00954ECA"/>
    <w:rsid w:val="009812C2"/>
    <w:rsid w:val="00982AF0"/>
    <w:rsid w:val="009958C1"/>
    <w:rsid w:val="00996C70"/>
    <w:rsid w:val="009A4940"/>
    <w:rsid w:val="009B2B07"/>
    <w:rsid w:val="009C21C0"/>
    <w:rsid w:val="009C2D76"/>
    <w:rsid w:val="009D7026"/>
    <w:rsid w:val="009E231B"/>
    <w:rsid w:val="009E78E0"/>
    <w:rsid w:val="009F0182"/>
    <w:rsid w:val="00A20C40"/>
    <w:rsid w:val="00A20DE1"/>
    <w:rsid w:val="00A30E21"/>
    <w:rsid w:val="00A3125A"/>
    <w:rsid w:val="00A341B2"/>
    <w:rsid w:val="00A4043F"/>
    <w:rsid w:val="00A4441E"/>
    <w:rsid w:val="00A47DD4"/>
    <w:rsid w:val="00AA37AE"/>
    <w:rsid w:val="00AA41D6"/>
    <w:rsid w:val="00AD61C2"/>
    <w:rsid w:val="00AD7BFC"/>
    <w:rsid w:val="00AD7F9C"/>
    <w:rsid w:val="00B0698E"/>
    <w:rsid w:val="00B14469"/>
    <w:rsid w:val="00B22642"/>
    <w:rsid w:val="00B346A5"/>
    <w:rsid w:val="00B3622B"/>
    <w:rsid w:val="00B42F5C"/>
    <w:rsid w:val="00B5530D"/>
    <w:rsid w:val="00B76DEA"/>
    <w:rsid w:val="00B81BB4"/>
    <w:rsid w:val="00B84F15"/>
    <w:rsid w:val="00BA2D16"/>
    <w:rsid w:val="00BA4A31"/>
    <w:rsid w:val="00BB5FCF"/>
    <w:rsid w:val="00BC3D2E"/>
    <w:rsid w:val="00BD3D8F"/>
    <w:rsid w:val="00BE4710"/>
    <w:rsid w:val="00BF24A2"/>
    <w:rsid w:val="00C01233"/>
    <w:rsid w:val="00C06E69"/>
    <w:rsid w:val="00C226F9"/>
    <w:rsid w:val="00C23B18"/>
    <w:rsid w:val="00C24321"/>
    <w:rsid w:val="00C5139A"/>
    <w:rsid w:val="00C53C9C"/>
    <w:rsid w:val="00C5649F"/>
    <w:rsid w:val="00C85BA0"/>
    <w:rsid w:val="00C91C15"/>
    <w:rsid w:val="00C92D60"/>
    <w:rsid w:val="00C95BCB"/>
    <w:rsid w:val="00CA383D"/>
    <w:rsid w:val="00CC43A3"/>
    <w:rsid w:val="00CD4D88"/>
    <w:rsid w:val="00CE1F8A"/>
    <w:rsid w:val="00CF0544"/>
    <w:rsid w:val="00CF42DF"/>
    <w:rsid w:val="00CF69DB"/>
    <w:rsid w:val="00D11833"/>
    <w:rsid w:val="00D31B35"/>
    <w:rsid w:val="00D37562"/>
    <w:rsid w:val="00D50C66"/>
    <w:rsid w:val="00D51C71"/>
    <w:rsid w:val="00D62720"/>
    <w:rsid w:val="00D7044B"/>
    <w:rsid w:val="00D77A37"/>
    <w:rsid w:val="00D80CE2"/>
    <w:rsid w:val="00DB1D01"/>
    <w:rsid w:val="00DB1D37"/>
    <w:rsid w:val="00DB2F48"/>
    <w:rsid w:val="00DB3B6A"/>
    <w:rsid w:val="00DB4666"/>
    <w:rsid w:val="00E018C4"/>
    <w:rsid w:val="00E039A9"/>
    <w:rsid w:val="00E10DF1"/>
    <w:rsid w:val="00E30DDC"/>
    <w:rsid w:val="00E3137A"/>
    <w:rsid w:val="00E31A2C"/>
    <w:rsid w:val="00E33816"/>
    <w:rsid w:val="00E369D2"/>
    <w:rsid w:val="00E605D4"/>
    <w:rsid w:val="00EA25B1"/>
    <w:rsid w:val="00EA7952"/>
    <w:rsid w:val="00EC62D6"/>
    <w:rsid w:val="00EC63DA"/>
    <w:rsid w:val="00EC6FC1"/>
    <w:rsid w:val="00EE5CB1"/>
    <w:rsid w:val="00EE7513"/>
    <w:rsid w:val="00EF08BA"/>
    <w:rsid w:val="00EF0A1D"/>
    <w:rsid w:val="00EF2CB7"/>
    <w:rsid w:val="00EF7AFC"/>
    <w:rsid w:val="00F05EB2"/>
    <w:rsid w:val="00F26066"/>
    <w:rsid w:val="00F33D69"/>
    <w:rsid w:val="00F35AF1"/>
    <w:rsid w:val="00F36332"/>
    <w:rsid w:val="00F3671C"/>
    <w:rsid w:val="00F54F5B"/>
    <w:rsid w:val="00F55C73"/>
    <w:rsid w:val="00F63429"/>
    <w:rsid w:val="00F72CF4"/>
    <w:rsid w:val="00FA0D9A"/>
    <w:rsid w:val="00FC61F8"/>
    <w:rsid w:val="00FD6411"/>
    <w:rsid w:val="00FE195D"/>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F86C"/>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EA25B1"/>
    <w:pPr>
      <w:tabs>
        <w:tab w:val="right" w:leader="dot" w:pos="8268"/>
      </w:tabs>
      <w:spacing w:before="0" w:after="0" w:line="240" w:lineRule="auto"/>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EA25B1"/>
    <w:pPr>
      <w:tabs>
        <w:tab w:val="right" w:leader="dot" w:pos="8268"/>
      </w:tabs>
      <w:spacing w:before="0"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 w:type="paragraph" w:styleId="HTMLPreformatted">
    <w:name w:val="HTML Preformatted"/>
    <w:basedOn w:val="Normal"/>
    <w:link w:val="HTMLPreformattedChar"/>
    <w:uiPriority w:val="99"/>
    <w:semiHidden/>
    <w:unhideWhenUsed/>
    <w:rsid w:val="00CF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544"/>
    <w:rPr>
      <w:rFonts w:ascii="Courier New" w:eastAsia="Times New Roman" w:hAnsi="Courier New" w:cs="Courier New"/>
      <w:sz w:val="20"/>
      <w:szCs w:val="20"/>
    </w:rPr>
  </w:style>
  <w:style w:type="character" w:customStyle="1" w:styleId="pl-k">
    <w:name w:val="pl-k"/>
    <w:basedOn w:val="DefaultParagraphFont"/>
    <w:rsid w:val="00CF0544"/>
  </w:style>
  <w:style w:type="paragraph" w:customStyle="1" w:styleId="Standard">
    <w:name w:val="Standard"/>
    <w:rsid w:val="00901995"/>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 w:id="554463765">
      <w:bodyDiv w:val="1"/>
      <w:marLeft w:val="0"/>
      <w:marRight w:val="0"/>
      <w:marTop w:val="0"/>
      <w:marBottom w:val="0"/>
      <w:divBdr>
        <w:top w:val="none" w:sz="0" w:space="0" w:color="auto"/>
        <w:left w:val="none" w:sz="0" w:space="0" w:color="auto"/>
        <w:bottom w:val="none" w:sz="0" w:space="0" w:color="auto"/>
        <w:right w:val="none" w:sz="0" w:space="0" w:color="auto"/>
      </w:divBdr>
    </w:div>
    <w:div w:id="1709062408">
      <w:bodyDiv w:val="1"/>
      <w:marLeft w:val="0"/>
      <w:marRight w:val="0"/>
      <w:marTop w:val="0"/>
      <w:marBottom w:val="0"/>
      <w:divBdr>
        <w:top w:val="none" w:sz="0" w:space="0" w:color="auto"/>
        <w:left w:val="none" w:sz="0" w:space="0" w:color="auto"/>
        <w:bottom w:val="none" w:sz="0" w:space="0" w:color="auto"/>
        <w:right w:val="none" w:sz="0" w:space="0" w:color="auto"/>
      </w:divBdr>
    </w:div>
    <w:div w:id="18290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13" Type="http://schemas.openxmlformats.org/officeDocument/2006/relationships/image" Target="media/image4.png"/><Relationship Id="rId18" Type="http://schemas.openxmlformats.org/officeDocument/2006/relationships/hyperlink" Target="http://docs.oracle.com/javaee/7/api/javax/json/JsonObjec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digitalhealthrevolution/serviceregist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kantarainitiative.org/confluence/display/infosharing/Consent+Receipt+Specification"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github.com/google/gson" TargetMode="External"/><Relationship Id="rId4" Type="http://schemas.openxmlformats.org/officeDocument/2006/relationships/settings" Target="settings.xml"/><Relationship Id="rId9" Type="http://schemas.openxmlformats.org/officeDocument/2006/relationships/hyperlink" Target="https://www.w3.org/TR/rdf11-concept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0DF9-D042-4335-BC2D-B9A141B4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11632</TotalTime>
  <Pages>1</Pages>
  <Words>9253</Words>
  <Characters>52747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47</cp:revision>
  <dcterms:created xsi:type="dcterms:W3CDTF">2016-11-09T15:53:00Z</dcterms:created>
  <dcterms:modified xsi:type="dcterms:W3CDTF">2016-11-27T23:11:00Z</dcterms:modified>
</cp:coreProperties>
</file>