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EA25B1" w:rsidRDefault="008C03C6" w:rsidP="00EA25B1">
          <w:pPr>
            <w:pStyle w:val="TOC1"/>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904531" w:history="1">
            <w:r w:rsidR="00EA25B1" w:rsidRPr="002944E3">
              <w:rPr>
                <w:rStyle w:val="Hyperlink"/>
                <w:noProof/>
              </w:rPr>
              <w:t>Introduzione</w:t>
            </w:r>
            <w:r w:rsidR="00EA25B1">
              <w:rPr>
                <w:noProof/>
                <w:webHidden/>
              </w:rPr>
              <w:tab/>
            </w:r>
            <w:r w:rsidR="00EA25B1">
              <w:rPr>
                <w:noProof/>
                <w:webHidden/>
              </w:rPr>
              <w:fldChar w:fldCharType="begin"/>
            </w:r>
            <w:r w:rsidR="00EA25B1">
              <w:rPr>
                <w:noProof/>
                <w:webHidden/>
              </w:rPr>
              <w:instrText xml:space="preserve"> PAGEREF _Toc466904531 \h </w:instrText>
            </w:r>
            <w:r w:rsidR="00EA25B1">
              <w:rPr>
                <w:noProof/>
                <w:webHidden/>
              </w:rPr>
            </w:r>
            <w:r w:rsidR="00EA25B1">
              <w:rPr>
                <w:noProof/>
                <w:webHidden/>
              </w:rPr>
              <w:fldChar w:fldCharType="separate"/>
            </w:r>
            <w:r w:rsidR="00EA25B1">
              <w:rPr>
                <w:noProof/>
                <w:webHidden/>
              </w:rPr>
              <w:t>3</w:t>
            </w:r>
            <w:r w:rsidR="00EA25B1">
              <w:rPr>
                <w:noProof/>
                <w:webHidden/>
              </w:rPr>
              <w:fldChar w:fldCharType="end"/>
            </w:r>
          </w:hyperlink>
        </w:p>
        <w:p w:rsidR="00EA25B1" w:rsidRDefault="009509B6" w:rsidP="00EA25B1">
          <w:pPr>
            <w:pStyle w:val="TOC1"/>
            <w:rPr>
              <w:rFonts w:asciiTheme="minorHAnsi" w:hAnsiTheme="minorHAnsi"/>
              <w:noProof/>
              <w:sz w:val="22"/>
            </w:rPr>
          </w:pPr>
          <w:hyperlink w:anchor="_Toc466904532" w:history="1">
            <w:r w:rsidR="00EA25B1" w:rsidRPr="002944E3">
              <w:rPr>
                <w:rStyle w:val="Hyperlink"/>
                <w:noProof/>
              </w:rPr>
              <w:t>1 MyData, Big Data</w:t>
            </w:r>
            <w:r w:rsidR="00EA25B1">
              <w:rPr>
                <w:noProof/>
                <w:webHidden/>
              </w:rPr>
              <w:tab/>
            </w:r>
            <w:r w:rsidR="00EA25B1">
              <w:rPr>
                <w:noProof/>
                <w:webHidden/>
              </w:rPr>
              <w:fldChar w:fldCharType="begin"/>
            </w:r>
            <w:r w:rsidR="00EA25B1">
              <w:rPr>
                <w:noProof/>
                <w:webHidden/>
              </w:rPr>
              <w:instrText xml:space="preserve"> PAGEREF _Toc466904532 \h </w:instrText>
            </w:r>
            <w:r w:rsidR="00EA25B1">
              <w:rPr>
                <w:noProof/>
                <w:webHidden/>
              </w:rPr>
            </w:r>
            <w:r w:rsidR="00EA25B1">
              <w:rPr>
                <w:noProof/>
                <w:webHidden/>
              </w:rPr>
              <w:fldChar w:fldCharType="separate"/>
            </w:r>
            <w:r w:rsidR="00EA25B1">
              <w:rPr>
                <w:noProof/>
                <w:webHidden/>
              </w:rPr>
              <w:t>4</w:t>
            </w:r>
            <w:r w:rsidR="00EA25B1">
              <w:rPr>
                <w:noProof/>
                <w:webHidden/>
              </w:rPr>
              <w:fldChar w:fldCharType="end"/>
            </w:r>
          </w:hyperlink>
        </w:p>
        <w:p w:rsidR="00EA25B1" w:rsidRDefault="009509B6" w:rsidP="00EA25B1">
          <w:pPr>
            <w:pStyle w:val="TOC1"/>
            <w:rPr>
              <w:rFonts w:asciiTheme="minorHAnsi" w:hAnsiTheme="minorHAnsi"/>
              <w:noProof/>
              <w:sz w:val="22"/>
            </w:rPr>
          </w:pPr>
          <w:hyperlink w:anchor="_Toc466904533" w:history="1">
            <w:r w:rsidR="00EA25B1" w:rsidRPr="002944E3">
              <w:rPr>
                <w:rStyle w:val="Hyperlink"/>
                <w:noProof/>
                <w:lang w:val="en-GB"/>
              </w:rPr>
              <w:t>2 Smart Mobility</w:t>
            </w:r>
            <w:r w:rsidR="00EA25B1">
              <w:rPr>
                <w:noProof/>
                <w:webHidden/>
              </w:rPr>
              <w:tab/>
            </w:r>
            <w:r w:rsidR="00EA25B1">
              <w:rPr>
                <w:noProof/>
                <w:webHidden/>
              </w:rPr>
              <w:fldChar w:fldCharType="begin"/>
            </w:r>
            <w:r w:rsidR="00EA25B1">
              <w:rPr>
                <w:noProof/>
                <w:webHidden/>
              </w:rPr>
              <w:instrText xml:space="preserve"> PAGEREF _Toc466904533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9509B6">
          <w:pPr>
            <w:pStyle w:val="TOC2"/>
            <w:rPr>
              <w:rFonts w:asciiTheme="minorHAnsi" w:hAnsiTheme="minorHAnsi"/>
              <w:noProof/>
              <w:sz w:val="22"/>
            </w:rPr>
          </w:pPr>
          <w:hyperlink w:anchor="_Toc466904534" w:history="1">
            <w:r w:rsidR="00EA25B1" w:rsidRPr="002944E3">
              <w:rPr>
                <w:rStyle w:val="Hyperlink"/>
                <w:noProof/>
                <w:lang w:val="en-GB"/>
              </w:rPr>
              <w:t>2.1 Mobility as a Service</w:t>
            </w:r>
            <w:r w:rsidR="00EA25B1">
              <w:rPr>
                <w:noProof/>
                <w:webHidden/>
              </w:rPr>
              <w:tab/>
            </w:r>
            <w:r w:rsidR="00EA25B1">
              <w:rPr>
                <w:noProof/>
                <w:webHidden/>
              </w:rPr>
              <w:fldChar w:fldCharType="begin"/>
            </w:r>
            <w:r w:rsidR="00EA25B1">
              <w:rPr>
                <w:noProof/>
                <w:webHidden/>
              </w:rPr>
              <w:instrText xml:space="preserve"> PAGEREF _Toc466904534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9509B6" w:rsidP="00EA25B1">
          <w:pPr>
            <w:pStyle w:val="TOC3"/>
            <w:rPr>
              <w:rFonts w:asciiTheme="minorHAnsi" w:hAnsiTheme="minorHAnsi"/>
              <w:noProof/>
              <w:sz w:val="22"/>
            </w:rPr>
          </w:pPr>
          <w:hyperlink w:anchor="_Toc466904535" w:history="1">
            <w:r w:rsidR="00EA25B1" w:rsidRPr="002944E3">
              <w:rPr>
                <w:rStyle w:val="Hyperlink"/>
                <w:noProof/>
              </w:rPr>
              <w:t>2.1.1 Mobility Profile e Journey Planner</w:t>
            </w:r>
            <w:r w:rsidR="00EA25B1">
              <w:rPr>
                <w:noProof/>
                <w:webHidden/>
              </w:rPr>
              <w:tab/>
            </w:r>
            <w:r w:rsidR="00EA25B1">
              <w:rPr>
                <w:noProof/>
                <w:webHidden/>
              </w:rPr>
              <w:fldChar w:fldCharType="begin"/>
            </w:r>
            <w:r w:rsidR="00EA25B1">
              <w:rPr>
                <w:noProof/>
                <w:webHidden/>
              </w:rPr>
              <w:instrText xml:space="preserve"> PAGEREF _Toc466904535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9509B6">
          <w:pPr>
            <w:pStyle w:val="TOC2"/>
            <w:rPr>
              <w:rFonts w:asciiTheme="minorHAnsi" w:hAnsiTheme="minorHAnsi"/>
              <w:noProof/>
              <w:sz w:val="22"/>
            </w:rPr>
          </w:pPr>
          <w:hyperlink w:anchor="_Toc466904536" w:history="1">
            <w:r w:rsidR="00EA25B1" w:rsidRPr="002944E3">
              <w:rPr>
                <w:rStyle w:val="Hyperlink"/>
                <w:noProof/>
              </w:rPr>
              <w:t>2.2 Smart Mobility for All</w:t>
            </w:r>
            <w:r w:rsidR="00EA25B1">
              <w:rPr>
                <w:noProof/>
                <w:webHidden/>
              </w:rPr>
              <w:tab/>
            </w:r>
            <w:r w:rsidR="00EA25B1">
              <w:rPr>
                <w:noProof/>
                <w:webHidden/>
              </w:rPr>
              <w:fldChar w:fldCharType="begin"/>
            </w:r>
            <w:r w:rsidR="00EA25B1">
              <w:rPr>
                <w:noProof/>
                <w:webHidden/>
              </w:rPr>
              <w:instrText xml:space="preserve"> PAGEREF _Toc466904536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9509B6" w:rsidP="00EA25B1">
          <w:pPr>
            <w:pStyle w:val="TOC1"/>
            <w:rPr>
              <w:rFonts w:asciiTheme="minorHAnsi" w:hAnsiTheme="minorHAnsi"/>
              <w:noProof/>
              <w:sz w:val="22"/>
            </w:rPr>
          </w:pPr>
          <w:hyperlink w:anchor="_Toc466904537" w:history="1">
            <w:r w:rsidR="00EA25B1" w:rsidRPr="002944E3">
              <w:rPr>
                <w:rStyle w:val="Hyperlink"/>
                <w:noProof/>
              </w:rPr>
              <w:t>2 ½ GDPR??</w:t>
            </w:r>
            <w:r w:rsidR="00EA25B1">
              <w:rPr>
                <w:noProof/>
                <w:webHidden/>
              </w:rPr>
              <w:tab/>
            </w:r>
            <w:r w:rsidR="00EA25B1">
              <w:rPr>
                <w:noProof/>
                <w:webHidden/>
              </w:rPr>
              <w:fldChar w:fldCharType="begin"/>
            </w:r>
            <w:r w:rsidR="00EA25B1">
              <w:rPr>
                <w:noProof/>
                <w:webHidden/>
              </w:rPr>
              <w:instrText xml:space="preserve"> PAGEREF _Toc466904537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9509B6" w:rsidP="00EA25B1">
          <w:pPr>
            <w:pStyle w:val="TOC1"/>
            <w:rPr>
              <w:rFonts w:asciiTheme="minorHAnsi" w:hAnsiTheme="minorHAnsi"/>
              <w:noProof/>
              <w:sz w:val="22"/>
            </w:rPr>
          </w:pPr>
          <w:hyperlink w:anchor="_Toc466904538" w:history="1">
            <w:r w:rsidR="00EA25B1" w:rsidRPr="002944E3">
              <w:rPr>
                <w:rStyle w:val="Hyperlink"/>
                <w:noProof/>
              </w:rPr>
              <w:t>3 Architettura MyData</w:t>
            </w:r>
            <w:r w:rsidR="00EA25B1">
              <w:rPr>
                <w:noProof/>
                <w:webHidden/>
              </w:rPr>
              <w:tab/>
            </w:r>
            <w:r w:rsidR="00EA25B1">
              <w:rPr>
                <w:noProof/>
                <w:webHidden/>
              </w:rPr>
              <w:fldChar w:fldCharType="begin"/>
            </w:r>
            <w:r w:rsidR="00EA25B1">
              <w:rPr>
                <w:noProof/>
                <w:webHidden/>
              </w:rPr>
              <w:instrText xml:space="preserve"> PAGEREF _Toc466904538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9509B6">
          <w:pPr>
            <w:pStyle w:val="TOC2"/>
            <w:rPr>
              <w:rFonts w:asciiTheme="minorHAnsi" w:hAnsiTheme="minorHAnsi"/>
              <w:noProof/>
              <w:sz w:val="22"/>
            </w:rPr>
          </w:pPr>
          <w:hyperlink w:anchor="_Toc466904539" w:history="1">
            <w:r w:rsidR="00EA25B1" w:rsidRPr="002944E3">
              <w:rPr>
                <w:rStyle w:val="Hyperlink"/>
                <w:noProof/>
              </w:rPr>
              <w:t>3.1 Entità fondamentali</w:t>
            </w:r>
            <w:r w:rsidR="00EA25B1">
              <w:rPr>
                <w:noProof/>
                <w:webHidden/>
              </w:rPr>
              <w:tab/>
            </w:r>
            <w:r w:rsidR="00EA25B1">
              <w:rPr>
                <w:noProof/>
                <w:webHidden/>
              </w:rPr>
              <w:fldChar w:fldCharType="begin"/>
            </w:r>
            <w:r w:rsidR="00EA25B1">
              <w:rPr>
                <w:noProof/>
                <w:webHidden/>
              </w:rPr>
              <w:instrText xml:space="preserve"> PAGEREF _Toc466904539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9509B6">
          <w:pPr>
            <w:pStyle w:val="TOC2"/>
            <w:rPr>
              <w:rFonts w:asciiTheme="minorHAnsi" w:hAnsiTheme="minorHAnsi"/>
              <w:noProof/>
              <w:sz w:val="22"/>
            </w:rPr>
          </w:pPr>
          <w:hyperlink w:anchor="_Toc466904540" w:history="1">
            <w:r w:rsidR="00EA25B1" w:rsidRPr="002944E3">
              <w:rPr>
                <w:rStyle w:val="Hyperlink"/>
                <w:noProof/>
              </w:rPr>
              <w:t>3.2 Service Registry, Service Linking</w:t>
            </w:r>
            <w:r w:rsidR="00EA25B1">
              <w:rPr>
                <w:noProof/>
                <w:webHidden/>
              </w:rPr>
              <w:tab/>
            </w:r>
            <w:r w:rsidR="00EA25B1">
              <w:rPr>
                <w:noProof/>
                <w:webHidden/>
              </w:rPr>
              <w:fldChar w:fldCharType="begin"/>
            </w:r>
            <w:r w:rsidR="00EA25B1">
              <w:rPr>
                <w:noProof/>
                <w:webHidden/>
              </w:rPr>
              <w:instrText xml:space="preserve"> PAGEREF _Toc466904540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9509B6" w:rsidP="00EA25B1">
          <w:pPr>
            <w:pStyle w:val="TOC3"/>
            <w:rPr>
              <w:rFonts w:asciiTheme="minorHAnsi" w:hAnsiTheme="minorHAnsi"/>
              <w:noProof/>
              <w:sz w:val="22"/>
            </w:rPr>
          </w:pPr>
          <w:hyperlink w:anchor="_Toc466904541" w:history="1">
            <w:r w:rsidR="00EA25B1" w:rsidRPr="002944E3">
              <w:rPr>
                <w:rStyle w:val="Hyperlink"/>
                <w:noProof/>
                <w:lang w:val="en-GB"/>
              </w:rPr>
              <w:t>3.2.1 OAuth 2.0</w:t>
            </w:r>
            <w:r w:rsidR="00EA25B1">
              <w:rPr>
                <w:noProof/>
                <w:webHidden/>
              </w:rPr>
              <w:tab/>
            </w:r>
            <w:r w:rsidR="00EA25B1">
              <w:rPr>
                <w:noProof/>
                <w:webHidden/>
              </w:rPr>
              <w:fldChar w:fldCharType="begin"/>
            </w:r>
            <w:r w:rsidR="00EA25B1">
              <w:rPr>
                <w:noProof/>
                <w:webHidden/>
              </w:rPr>
              <w:instrText xml:space="preserve"> PAGEREF _Toc466904541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9509B6">
          <w:pPr>
            <w:pStyle w:val="TOC2"/>
            <w:rPr>
              <w:rFonts w:asciiTheme="minorHAnsi" w:hAnsiTheme="minorHAnsi"/>
              <w:noProof/>
              <w:sz w:val="22"/>
            </w:rPr>
          </w:pPr>
          <w:hyperlink w:anchor="_Toc466904542" w:history="1">
            <w:r w:rsidR="00EA25B1" w:rsidRPr="002944E3">
              <w:rPr>
                <w:rStyle w:val="Hyperlink"/>
                <w:noProof/>
              </w:rPr>
              <w:t>3.3 Autorizzazioni e Consent</w:t>
            </w:r>
            <w:r w:rsidR="00EA25B1">
              <w:rPr>
                <w:noProof/>
                <w:webHidden/>
              </w:rPr>
              <w:tab/>
            </w:r>
            <w:r w:rsidR="00EA25B1">
              <w:rPr>
                <w:noProof/>
                <w:webHidden/>
              </w:rPr>
              <w:fldChar w:fldCharType="begin"/>
            </w:r>
            <w:r w:rsidR="00EA25B1">
              <w:rPr>
                <w:noProof/>
                <w:webHidden/>
              </w:rPr>
              <w:instrText xml:space="preserve"> PAGEREF _Toc466904542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9509B6" w:rsidP="00EA25B1">
          <w:pPr>
            <w:pStyle w:val="TOC3"/>
            <w:rPr>
              <w:rFonts w:asciiTheme="minorHAnsi" w:hAnsiTheme="minorHAnsi"/>
              <w:noProof/>
              <w:sz w:val="22"/>
            </w:rPr>
          </w:pPr>
          <w:hyperlink w:anchor="_Toc466904543" w:history="1">
            <w:r w:rsidR="00EA25B1" w:rsidRPr="002944E3">
              <w:rPr>
                <w:rStyle w:val="Hyperlink"/>
                <w:noProof/>
                <w:lang w:val="en-GB"/>
              </w:rPr>
              <w:t>3.3.1 Kantara Consent &amp; Information Sharing Work Group</w:t>
            </w:r>
            <w:r w:rsidR="00EA25B1">
              <w:rPr>
                <w:noProof/>
                <w:webHidden/>
              </w:rPr>
              <w:tab/>
            </w:r>
            <w:r w:rsidR="00EA25B1">
              <w:rPr>
                <w:noProof/>
                <w:webHidden/>
              </w:rPr>
              <w:fldChar w:fldCharType="begin"/>
            </w:r>
            <w:r w:rsidR="00EA25B1">
              <w:rPr>
                <w:noProof/>
                <w:webHidden/>
              </w:rPr>
              <w:instrText xml:space="preserve"> PAGEREF _Toc466904543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9509B6" w:rsidP="00EA25B1">
          <w:pPr>
            <w:pStyle w:val="TOC3"/>
            <w:rPr>
              <w:rFonts w:asciiTheme="minorHAnsi" w:hAnsiTheme="minorHAnsi"/>
              <w:noProof/>
              <w:sz w:val="22"/>
            </w:rPr>
          </w:pPr>
          <w:hyperlink w:anchor="_Toc466904544" w:history="1">
            <w:r w:rsidR="00EA25B1" w:rsidRPr="002944E3">
              <w:rPr>
                <w:rStyle w:val="Hyperlink"/>
                <w:noProof/>
                <w:lang w:val="en-GB"/>
              </w:rPr>
              <w:t>3.3.2 User M</w:t>
            </w:r>
            <w:r w:rsidR="00EA25B1" w:rsidRPr="002944E3">
              <w:rPr>
                <w:rStyle w:val="Hyperlink"/>
                <w:noProof/>
                <w:lang w:val="en-GB"/>
              </w:rPr>
              <w:t>a</w:t>
            </w:r>
            <w:r w:rsidR="00EA25B1" w:rsidRPr="002944E3">
              <w:rPr>
                <w:rStyle w:val="Hyperlink"/>
                <w:noProof/>
                <w:lang w:val="en-GB"/>
              </w:rPr>
              <w:t>naged Access</w:t>
            </w:r>
            <w:r w:rsidR="00EA25B1">
              <w:rPr>
                <w:noProof/>
                <w:webHidden/>
              </w:rPr>
              <w:tab/>
            </w:r>
            <w:r w:rsidR="00EA25B1">
              <w:rPr>
                <w:noProof/>
                <w:webHidden/>
              </w:rPr>
              <w:fldChar w:fldCharType="begin"/>
            </w:r>
            <w:r w:rsidR="00EA25B1">
              <w:rPr>
                <w:noProof/>
                <w:webHidden/>
              </w:rPr>
              <w:instrText xml:space="preserve"> PAGEREF _Toc466904544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9509B6">
          <w:pPr>
            <w:pStyle w:val="TOC2"/>
            <w:rPr>
              <w:rFonts w:asciiTheme="minorHAnsi" w:hAnsiTheme="minorHAnsi"/>
              <w:noProof/>
              <w:sz w:val="22"/>
            </w:rPr>
          </w:pPr>
          <w:hyperlink w:anchor="_Toc466904545" w:history="1">
            <w:r w:rsidR="00EA25B1" w:rsidRPr="002944E3">
              <w:rPr>
                <w:rStyle w:val="Hyperlink"/>
                <w:noProof/>
              </w:rPr>
              <w:t>3.4 Personal Data Storage</w:t>
            </w:r>
            <w:r w:rsidR="00EA25B1">
              <w:rPr>
                <w:noProof/>
                <w:webHidden/>
              </w:rPr>
              <w:tab/>
            </w:r>
            <w:r w:rsidR="00EA25B1">
              <w:rPr>
                <w:noProof/>
                <w:webHidden/>
              </w:rPr>
              <w:fldChar w:fldCharType="begin"/>
            </w:r>
            <w:r w:rsidR="00EA25B1">
              <w:rPr>
                <w:noProof/>
                <w:webHidden/>
              </w:rPr>
              <w:instrText xml:space="preserve"> PAGEREF _Toc466904545 \h </w:instrText>
            </w:r>
            <w:r w:rsidR="00EA25B1">
              <w:rPr>
                <w:noProof/>
                <w:webHidden/>
              </w:rPr>
            </w:r>
            <w:r w:rsidR="00EA25B1">
              <w:rPr>
                <w:noProof/>
                <w:webHidden/>
              </w:rPr>
              <w:fldChar w:fldCharType="separate"/>
            </w:r>
            <w:r w:rsidR="00EA25B1">
              <w:rPr>
                <w:noProof/>
                <w:webHidden/>
              </w:rPr>
              <w:t>10</w:t>
            </w:r>
            <w:r w:rsidR="00EA25B1">
              <w:rPr>
                <w:noProof/>
                <w:webHidden/>
              </w:rPr>
              <w:fldChar w:fldCharType="end"/>
            </w:r>
          </w:hyperlink>
        </w:p>
        <w:p w:rsidR="00EA25B1" w:rsidRDefault="009509B6" w:rsidP="00EA25B1">
          <w:pPr>
            <w:pStyle w:val="TOC1"/>
            <w:rPr>
              <w:rFonts w:asciiTheme="minorHAnsi" w:hAnsiTheme="minorHAnsi"/>
              <w:noProof/>
              <w:sz w:val="22"/>
            </w:rPr>
          </w:pPr>
          <w:hyperlink w:anchor="_Toc466904546" w:history="1">
            <w:r w:rsidR="00EA25B1" w:rsidRPr="002944E3">
              <w:rPr>
                <w:rStyle w:val="Hyperlink"/>
                <w:noProof/>
              </w:rPr>
              <w:t>4 Analisi e Design</w:t>
            </w:r>
            <w:r w:rsidR="00EA25B1">
              <w:rPr>
                <w:noProof/>
                <w:webHidden/>
              </w:rPr>
              <w:tab/>
            </w:r>
            <w:r w:rsidR="00EA25B1">
              <w:rPr>
                <w:noProof/>
                <w:webHidden/>
              </w:rPr>
              <w:fldChar w:fldCharType="begin"/>
            </w:r>
            <w:r w:rsidR="00EA25B1">
              <w:rPr>
                <w:noProof/>
                <w:webHidden/>
              </w:rPr>
              <w:instrText xml:space="preserve"> PAGEREF _Toc466904546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9509B6">
          <w:pPr>
            <w:pStyle w:val="TOC2"/>
            <w:rPr>
              <w:rFonts w:asciiTheme="minorHAnsi" w:hAnsiTheme="minorHAnsi"/>
              <w:noProof/>
              <w:sz w:val="22"/>
            </w:rPr>
          </w:pPr>
          <w:hyperlink w:anchor="_Toc466904547" w:history="1">
            <w:r w:rsidR="00EA25B1" w:rsidRPr="002944E3">
              <w:rPr>
                <w:rStyle w:val="Hyperlink"/>
                <w:noProof/>
                <w:lang w:val="en-GB"/>
              </w:rPr>
              <w:t>4.1 Accounting e Servizi</w:t>
            </w:r>
            <w:r w:rsidR="00EA25B1">
              <w:rPr>
                <w:noProof/>
                <w:webHidden/>
              </w:rPr>
              <w:tab/>
            </w:r>
            <w:r w:rsidR="00EA25B1">
              <w:rPr>
                <w:noProof/>
                <w:webHidden/>
              </w:rPr>
              <w:fldChar w:fldCharType="begin"/>
            </w:r>
            <w:r w:rsidR="00EA25B1">
              <w:rPr>
                <w:noProof/>
                <w:webHidden/>
              </w:rPr>
              <w:instrText xml:space="preserve"> PAGEREF _Toc466904547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9509B6">
          <w:pPr>
            <w:pStyle w:val="TOC2"/>
            <w:rPr>
              <w:rFonts w:asciiTheme="minorHAnsi" w:hAnsiTheme="minorHAnsi"/>
              <w:noProof/>
              <w:sz w:val="22"/>
            </w:rPr>
          </w:pPr>
          <w:hyperlink w:anchor="_Toc466904548" w:history="1">
            <w:r w:rsidR="00EA25B1" w:rsidRPr="002944E3">
              <w:rPr>
                <w:rStyle w:val="Hyperlink"/>
                <w:noProof/>
              </w:rPr>
              <w:t>4.2 Operatore MyData</w:t>
            </w:r>
            <w:r w:rsidR="00EA25B1">
              <w:rPr>
                <w:noProof/>
                <w:webHidden/>
              </w:rPr>
              <w:tab/>
            </w:r>
            <w:r w:rsidR="00EA25B1">
              <w:rPr>
                <w:noProof/>
                <w:webHidden/>
              </w:rPr>
              <w:fldChar w:fldCharType="begin"/>
            </w:r>
            <w:r w:rsidR="00EA25B1">
              <w:rPr>
                <w:noProof/>
                <w:webHidden/>
              </w:rPr>
              <w:instrText xml:space="preserve"> PAGEREF _Toc466904548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9509B6">
          <w:pPr>
            <w:pStyle w:val="TOC2"/>
            <w:rPr>
              <w:rFonts w:asciiTheme="minorHAnsi" w:hAnsiTheme="minorHAnsi"/>
              <w:noProof/>
              <w:sz w:val="22"/>
            </w:rPr>
          </w:pPr>
          <w:hyperlink w:anchor="_Toc466904549" w:history="1">
            <w:r w:rsidR="00EA25B1" w:rsidRPr="002944E3">
              <w:rPr>
                <w:rStyle w:val="Hyperlink"/>
                <w:noProof/>
              </w:rPr>
              <w:t>4.3 Service Registry, Service Linking</w:t>
            </w:r>
            <w:r w:rsidR="00EA25B1">
              <w:rPr>
                <w:noProof/>
                <w:webHidden/>
              </w:rPr>
              <w:tab/>
            </w:r>
            <w:r w:rsidR="00EA25B1">
              <w:rPr>
                <w:noProof/>
                <w:webHidden/>
              </w:rPr>
              <w:fldChar w:fldCharType="begin"/>
            </w:r>
            <w:r w:rsidR="00EA25B1">
              <w:rPr>
                <w:noProof/>
                <w:webHidden/>
              </w:rPr>
              <w:instrText xml:space="preserve"> PAGEREF _Toc466904549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9509B6">
          <w:pPr>
            <w:pStyle w:val="TOC2"/>
            <w:rPr>
              <w:rFonts w:asciiTheme="minorHAnsi" w:hAnsiTheme="minorHAnsi"/>
              <w:noProof/>
              <w:sz w:val="22"/>
            </w:rPr>
          </w:pPr>
          <w:hyperlink w:anchor="_Toc466904550" w:history="1">
            <w:r w:rsidR="00EA25B1" w:rsidRPr="002944E3">
              <w:rPr>
                <w:rStyle w:val="Hyperlink"/>
                <w:noProof/>
              </w:rPr>
              <w:t>4.4 Consent</w:t>
            </w:r>
            <w:r w:rsidR="00EA25B1">
              <w:rPr>
                <w:noProof/>
                <w:webHidden/>
              </w:rPr>
              <w:tab/>
            </w:r>
            <w:r w:rsidR="00EA25B1">
              <w:rPr>
                <w:noProof/>
                <w:webHidden/>
              </w:rPr>
              <w:fldChar w:fldCharType="begin"/>
            </w:r>
            <w:r w:rsidR="00EA25B1">
              <w:rPr>
                <w:noProof/>
                <w:webHidden/>
              </w:rPr>
              <w:instrText xml:space="preserve"> PAGEREF _Toc466904550 \h </w:instrText>
            </w:r>
            <w:r w:rsidR="00EA25B1">
              <w:rPr>
                <w:noProof/>
                <w:webHidden/>
              </w:rPr>
            </w:r>
            <w:r w:rsidR="00EA25B1">
              <w:rPr>
                <w:noProof/>
                <w:webHidden/>
              </w:rPr>
              <w:fldChar w:fldCharType="separate"/>
            </w:r>
            <w:r w:rsidR="00EA25B1">
              <w:rPr>
                <w:noProof/>
                <w:webHidden/>
              </w:rPr>
              <w:t>13</w:t>
            </w:r>
            <w:r w:rsidR="00EA25B1">
              <w:rPr>
                <w:noProof/>
                <w:webHidden/>
              </w:rPr>
              <w:fldChar w:fldCharType="end"/>
            </w:r>
          </w:hyperlink>
        </w:p>
        <w:p w:rsidR="00EA25B1" w:rsidRDefault="009509B6">
          <w:pPr>
            <w:pStyle w:val="TOC2"/>
            <w:rPr>
              <w:rFonts w:asciiTheme="minorHAnsi" w:hAnsiTheme="minorHAnsi"/>
              <w:noProof/>
              <w:sz w:val="22"/>
            </w:rPr>
          </w:pPr>
          <w:hyperlink w:anchor="_Toc466904551" w:history="1">
            <w:r w:rsidR="00EA25B1" w:rsidRPr="002944E3">
              <w:rPr>
                <w:rStyle w:val="Hyperlink"/>
                <w:noProof/>
              </w:rPr>
              <w:t>4.5 Personal Data Storage</w:t>
            </w:r>
            <w:r w:rsidR="00EA25B1">
              <w:rPr>
                <w:noProof/>
                <w:webHidden/>
              </w:rPr>
              <w:tab/>
            </w:r>
            <w:r w:rsidR="00EA25B1">
              <w:rPr>
                <w:noProof/>
                <w:webHidden/>
              </w:rPr>
              <w:fldChar w:fldCharType="begin"/>
            </w:r>
            <w:r w:rsidR="00EA25B1">
              <w:rPr>
                <w:noProof/>
                <w:webHidden/>
              </w:rPr>
              <w:instrText xml:space="preserve"> PAGEREF _Toc466904551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9509B6">
          <w:pPr>
            <w:pStyle w:val="TOC2"/>
            <w:rPr>
              <w:rFonts w:asciiTheme="minorHAnsi" w:hAnsiTheme="minorHAnsi"/>
              <w:noProof/>
              <w:sz w:val="22"/>
            </w:rPr>
          </w:pPr>
          <w:hyperlink w:anchor="_Toc466904552" w:history="1">
            <w:r w:rsidR="00EA25B1" w:rsidRPr="002944E3">
              <w:rPr>
                <w:rStyle w:val="Hyperlink"/>
                <w:noProof/>
              </w:rPr>
              <w:t>4.6 Rappresentazione di dati non noti a priori</w:t>
            </w:r>
            <w:r w:rsidR="00EA25B1">
              <w:rPr>
                <w:noProof/>
                <w:webHidden/>
              </w:rPr>
              <w:tab/>
            </w:r>
            <w:r w:rsidR="00EA25B1">
              <w:rPr>
                <w:noProof/>
                <w:webHidden/>
              </w:rPr>
              <w:fldChar w:fldCharType="begin"/>
            </w:r>
            <w:r w:rsidR="00EA25B1">
              <w:rPr>
                <w:noProof/>
                <w:webHidden/>
              </w:rPr>
              <w:instrText xml:space="preserve"> PAGEREF _Toc466904552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9509B6" w:rsidP="00EA25B1">
          <w:pPr>
            <w:pStyle w:val="TOC1"/>
            <w:rPr>
              <w:rFonts w:asciiTheme="minorHAnsi" w:hAnsiTheme="minorHAnsi"/>
              <w:noProof/>
              <w:sz w:val="22"/>
            </w:rPr>
          </w:pPr>
          <w:hyperlink w:anchor="_Toc466904553" w:history="1">
            <w:r w:rsidR="00EA25B1" w:rsidRPr="002944E3">
              <w:rPr>
                <w:rStyle w:val="Hyperlink"/>
                <w:noProof/>
              </w:rPr>
              <w:t>5 Progettazione</w:t>
            </w:r>
            <w:r w:rsidR="00EA25B1">
              <w:rPr>
                <w:noProof/>
                <w:webHidden/>
              </w:rPr>
              <w:tab/>
            </w:r>
            <w:r w:rsidR="00EA25B1">
              <w:rPr>
                <w:noProof/>
                <w:webHidden/>
              </w:rPr>
              <w:fldChar w:fldCharType="begin"/>
            </w:r>
            <w:r w:rsidR="00EA25B1">
              <w:rPr>
                <w:noProof/>
                <w:webHidden/>
              </w:rPr>
              <w:instrText xml:space="preserve"> PAGEREF _Toc466904553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9509B6">
          <w:pPr>
            <w:pStyle w:val="TOC2"/>
            <w:rPr>
              <w:rFonts w:asciiTheme="minorHAnsi" w:hAnsiTheme="minorHAnsi"/>
              <w:noProof/>
              <w:sz w:val="22"/>
            </w:rPr>
          </w:pPr>
          <w:hyperlink w:anchor="_Toc466904554" w:history="1">
            <w:r w:rsidR="00EA25B1" w:rsidRPr="002944E3">
              <w:rPr>
                <w:rStyle w:val="Hyperlink"/>
                <w:noProof/>
              </w:rPr>
              <w:t>5.1 Flusso del programma</w:t>
            </w:r>
            <w:r w:rsidR="00EA25B1">
              <w:rPr>
                <w:noProof/>
                <w:webHidden/>
              </w:rPr>
              <w:tab/>
            </w:r>
            <w:r w:rsidR="00EA25B1">
              <w:rPr>
                <w:noProof/>
                <w:webHidden/>
              </w:rPr>
              <w:fldChar w:fldCharType="begin"/>
            </w:r>
            <w:r w:rsidR="00EA25B1">
              <w:rPr>
                <w:noProof/>
                <w:webHidden/>
              </w:rPr>
              <w:instrText xml:space="preserve"> PAGEREF _Toc466904554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9509B6">
          <w:pPr>
            <w:pStyle w:val="TOC2"/>
            <w:rPr>
              <w:rFonts w:asciiTheme="minorHAnsi" w:hAnsiTheme="minorHAnsi"/>
              <w:noProof/>
              <w:sz w:val="22"/>
            </w:rPr>
          </w:pPr>
          <w:hyperlink w:anchor="_Toc466904555" w:history="1">
            <w:r w:rsidR="00EA25B1" w:rsidRPr="002944E3">
              <w:rPr>
                <w:rStyle w:val="Hyperlink"/>
                <w:noProof/>
              </w:rPr>
              <w:t>5.2 Accounting</w:t>
            </w:r>
            <w:r w:rsidR="00EA25B1">
              <w:rPr>
                <w:noProof/>
                <w:webHidden/>
              </w:rPr>
              <w:tab/>
            </w:r>
            <w:r w:rsidR="00EA25B1">
              <w:rPr>
                <w:noProof/>
                <w:webHidden/>
              </w:rPr>
              <w:fldChar w:fldCharType="begin"/>
            </w:r>
            <w:r w:rsidR="00EA25B1">
              <w:rPr>
                <w:noProof/>
                <w:webHidden/>
              </w:rPr>
              <w:instrText xml:space="preserve"> PAGEREF _Toc466904555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9509B6" w:rsidP="00EA25B1">
          <w:pPr>
            <w:pStyle w:val="TOC3"/>
            <w:rPr>
              <w:rFonts w:asciiTheme="minorHAnsi" w:hAnsiTheme="minorHAnsi"/>
              <w:noProof/>
              <w:sz w:val="22"/>
            </w:rPr>
          </w:pPr>
          <w:hyperlink w:anchor="_Toc466904556" w:history="1">
            <w:r w:rsidR="00EA25B1" w:rsidRPr="002944E3">
              <w:rPr>
                <w:rStyle w:val="Hyperlink"/>
                <w:noProof/>
              </w:rPr>
              <w:t>5.2.1 IUser, MyDataUser</w:t>
            </w:r>
            <w:r w:rsidR="00EA25B1">
              <w:rPr>
                <w:noProof/>
                <w:webHidden/>
              </w:rPr>
              <w:tab/>
            </w:r>
            <w:r w:rsidR="00EA25B1">
              <w:rPr>
                <w:noProof/>
                <w:webHidden/>
              </w:rPr>
              <w:fldChar w:fldCharType="begin"/>
            </w:r>
            <w:r w:rsidR="00EA25B1">
              <w:rPr>
                <w:noProof/>
                <w:webHidden/>
              </w:rPr>
              <w:instrText xml:space="preserve"> PAGEREF _Toc466904556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9509B6" w:rsidP="00EA25B1">
          <w:pPr>
            <w:pStyle w:val="TOC3"/>
            <w:rPr>
              <w:rFonts w:asciiTheme="minorHAnsi" w:hAnsiTheme="minorHAnsi"/>
              <w:noProof/>
              <w:sz w:val="22"/>
            </w:rPr>
          </w:pPr>
          <w:hyperlink w:anchor="_Toc466904557" w:history="1">
            <w:r w:rsidR="00EA25B1" w:rsidRPr="002944E3">
              <w:rPr>
                <w:rStyle w:val="Hyperlink"/>
                <w:noProof/>
              </w:rPr>
              <w:t>5.2.2 IAccount, Account</w:t>
            </w:r>
            <w:r w:rsidR="00EA25B1">
              <w:rPr>
                <w:noProof/>
                <w:webHidden/>
              </w:rPr>
              <w:tab/>
            </w:r>
            <w:r w:rsidR="00EA25B1">
              <w:rPr>
                <w:noProof/>
                <w:webHidden/>
              </w:rPr>
              <w:fldChar w:fldCharType="begin"/>
            </w:r>
            <w:r w:rsidR="00EA25B1">
              <w:rPr>
                <w:noProof/>
                <w:webHidden/>
              </w:rPr>
              <w:instrText xml:space="preserve"> PAGEREF _Toc466904557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9509B6">
          <w:pPr>
            <w:pStyle w:val="TOC2"/>
            <w:rPr>
              <w:rFonts w:asciiTheme="minorHAnsi" w:hAnsiTheme="minorHAnsi"/>
              <w:noProof/>
              <w:sz w:val="22"/>
            </w:rPr>
          </w:pPr>
          <w:hyperlink w:anchor="_Toc466904558" w:history="1">
            <w:r w:rsidR="00EA25B1" w:rsidRPr="002944E3">
              <w:rPr>
                <w:rStyle w:val="Hyperlink"/>
                <w:noProof/>
              </w:rPr>
              <w:t>5.3 SecurityManager</w:t>
            </w:r>
            <w:r w:rsidR="00EA25B1">
              <w:rPr>
                <w:noProof/>
                <w:webHidden/>
              </w:rPr>
              <w:tab/>
            </w:r>
            <w:r w:rsidR="00EA25B1">
              <w:rPr>
                <w:noProof/>
                <w:webHidden/>
              </w:rPr>
              <w:fldChar w:fldCharType="begin"/>
            </w:r>
            <w:r w:rsidR="00EA25B1">
              <w:rPr>
                <w:noProof/>
                <w:webHidden/>
              </w:rPr>
              <w:instrText xml:space="preserve"> PAGEREF _Toc466904558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9509B6">
          <w:pPr>
            <w:pStyle w:val="TOC2"/>
            <w:rPr>
              <w:rFonts w:asciiTheme="minorHAnsi" w:hAnsiTheme="minorHAnsi"/>
              <w:noProof/>
              <w:sz w:val="22"/>
            </w:rPr>
          </w:pPr>
          <w:hyperlink w:anchor="_Toc466904559" w:history="1">
            <w:r w:rsidR="00EA25B1" w:rsidRPr="002944E3">
              <w:rPr>
                <w:rStyle w:val="Hyperlink"/>
                <w:noProof/>
              </w:rPr>
              <w:t>5.4 IMyData, MyData</w:t>
            </w:r>
            <w:r w:rsidR="00EA25B1">
              <w:rPr>
                <w:noProof/>
                <w:webHidden/>
              </w:rPr>
              <w:tab/>
            </w:r>
            <w:r w:rsidR="00EA25B1">
              <w:rPr>
                <w:noProof/>
                <w:webHidden/>
              </w:rPr>
              <w:fldChar w:fldCharType="begin"/>
            </w:r>
            <w:r w:rsidR="00EA25B1">
              <w:rPr>
                <w:noProof/>
                <w:webHidden/>
              </w:rPr>
              <w:instrText xml:space="preserve"> PAGEREF _Toc466904559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9509B6">
          <w:pPr>
            <w:pStyle w:val="TOC2"/>
            <w:rPr>
              <w:rFonts w:asciiTheme="minorHAnsi" w:hAnsiTheme="minorHAnsi"/>
              <w:noProof/>
              <w:sz w:val="22"/>
            </w:rPr>
          </w:pPr>
          <w:hyperlink w:anchor="_Toc466904560" w:history="1">
            <w:r w:rsidR="00EA25B1" w:rsidRPr="002944E3">
              <w:rPr>
                <w:rStyle w:val="Hyperlink"/>
                <w:noProof/>
              </w:rPr>
              <w:t>5.6 Autorizzazioni e Consent</w:t>
            </w:r>
            <w:r w:rsidR="00EA25B1">
              <w:rPr>
                <w:noProof/>
                <w:webHidden/>
              </w:rPr>
              <w:tab/>
            </w:r>
            <w:r w:rsidR="00EA25B1">
              <w:rPr>
                <w:noProof/>
                <w:webHidden/>
              </w:rPr>
              <w:fldChar w:fldCharType="begin"/>
            </w:r>
            <w:r w:rsidR="00EA25B1">
              <w:rPr>
                <w:noProof/>
                <w:webHidden/>
              </w:rPr>
              <w:instrText xml:space="preserve"> PAGEREF _Toc466904560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9509B6" w:rsidP="00EA25B1">
          <w:pPr>
            <w:pStyle w:val="TOC3"/>
            <w:rPr>
              <w:rFonts w:asciiTheme="minorHAnsi" w:hAnsiTheme="minorHAnsi"/>
              <w:noProof/>
              <w:sz w:val="22"/>
            </w:rPr>
          </w:pPr>
          <w:hyperlink w:anchor="_Toc466904561" w:history="1">
            <w:r w:rsidR="00EA25B1" w:rsidRPr="002944E3">
              <w:rPr>
                <w:rStyle w:val="Hyperlink"/>
                <w:noProof/>
              </w:rPr>
              <w:t>5.6.1 ConsentManager, ConsentStatus</w:t>
            </w:r>
            <w:r w:rsidR="00EA25B1">
              <w:rPr>
                <w:noProof/>
                <w:webHidden/>
              </w:rPr>
              <w:tab/>
            </w:r>
            <w:r w:rsidR="00EA25B1">
              <w:rPr>
                <w:noProof/>
                <w:webHidden/>
              </w:rPr>
              <w:fldChar w:fldCharType="begin"/>
            </w:r>
            <w:r w:rsidR="00EA25B1">
              <w:rPr>
                <w:noProof/>
                <w:webHidden/>
              </w:rPr>
              <w:instrText xml:space="preserve"> PAGEREF _Toc466904561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9509B6" w:rsidP="00EA25B1">
          <w:pPr>
            <w:pStyle w:val="TOC3"/>
            <w:rPr>
              <w:rFonts w:asciiTheme="minorHAnsi" w:hAnsiTheme="minorHAnsi"/>
              <w:noProof/>
              <w:sz w:val="22"/>
            </w:rPr>
          </w:pPr>
          <w:hyperlink w:anchor="_Toc466904562" w:history="1">
            <w:r w:rsidR="00EA25B1" w:rsidRPr="002944E3">
              <w:rPr>
                <w:rStyle w:val="Hyperlink"/>
                <w:noProof/>
              </w:rPr>
              <w:t>5.6.2 ServiceConsent, DataConsent</w:t>
            </w:r>
            <w:r w:rsidR="00EA25B1">
              <w:rPr>
                <w:noProof/>
                <w:webHidden/>
              </w:rPr>
              <w:tab/>
            </w:r>
            <w:r w:rsidR="00EA25B1">
              <w:rPr>
                <w:noProof/>
                <w:webHidden/>
              </w:rPr>
              <w:fldChar w:fldCharType="begin"/>
            </w:r>
            <w:r w:rsidR="00EA25B1">
              <w:rPr>
                <w:noProof/>
                <w:webHidden/>
              </w:rPr>
              <w:instrText xml:space="preserve"> PAGEREF _Toc466904562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9509B6">
          <w:pPr>
            <w:pStyle w:val="TOC2"/>
            <w:rPr>
              <w:rFonts w:asciiTheme="minorHAnsi" w:hAnsiTheme="minorHAnsi"/>
              <w:noProof/>
              <w:sz w:val="22"/>
            </w:rPr>
          </w:pPr>
          <w:hyperlink w:anchor="_Toc466904563" w:history="1">
            <w:r w:rsidR="00EA25B1" w:rsidRPr="002944E3">
              <w:rPr>
                <w:rStyle w:val="Hyperlink"/>
                <w:noProof/>
              </w:rPr>
              <w:t>5.7 PersonalDataVault</w:t>
            </w:r>
            <w:r w:rsidR="00EA25B1">
              <w:rPr>
                <w:noProof/>
                <w:webHidden/>
              </w:rPr>
              <w:tab/>
            </w:r>
            <w:r w:rsidR="00EA25B1">
              <w:rPr>
                <w:noProof/>
                <w:webHidden/>
              </w:rPr>
              <w:fldChar w:fldCharType="begin"/>
            </w:r>
            <w:r w:rsidR="00EA25B1">
              <w:rPr>
                <w:noProof/>
                <w:webHidden/>
              </w:rPr>
              <w:instrText xml:space="preserve"> PAGEREF _Toc466904563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9509B6">
          <w:pPr>
            <w:pStyle w:val="TOC2"/>
            <w:rPr>
              <w:rFonts w:asciiTheme="minorHAnsi" w:hAnsiTheme="minorHAnsi"/>
              <w:noProof/>
              <w:sz w:val="22"/>
            </w:rPr>
          </w:pPr>
          <w:hyperlink w:anchor="_Toc466904564" w:history="1">
            <w:r w:rsidR="00EA25B1" w:rsidRPr="002944E3">
              <w:rPr>
                <w:rStyle w:val="Hyperlink"/>
                <w:noProof/>
              </w:rPr>
              <w:t>5.8 Metadata, DataSet</w:t>
            </w:r>
            <w:r w:rsidR="00EA25B1">
              <w:rPr>
                <w:noProof/>
                <w:webHidden/>
              </w:rPr>
              <w:tab/>
            </w:r>
            <w:r w:rsidR="00EA25B1">
              <w:rPr>
                <w:noProof/>
                <w:webHidden/>
              </w:rPr>
              <w:fldChar w:fldCharType="begin"/>
            </w:r>
            <w:r w:rsidR="00EA25B1">
              <w:rPr>
                <w:noProof/>
                <w:webHidden/>
              </w:rPr>
              <w:instrText xml:space="preserve"> PAGEREF _Toc466904564 \h </w:instrText>
            </w:r>
            <w:r w:rsidR="00EA25B1">
              <w:rPr>
                <w:noProof/>
                <w:webHidden/>
              </w:rPr>
            </w:r>
            <w:r w:rsidR="00EA25B1">
              <w:rPr>
                <w:noProof/>
                <w:webHidden/>
              </w:rPr>
              <w:fldChar w:fldCharType="separate"/>
            </w:r>
            <w:r w:rsidR="00EA25B1">
              <w:rPr>
                <w:noProof/>
                <w:webHidden/>
              </w:rPr>
              <w:t>21</w:t>
            </w:r>
            <w:r w:rsidR="00EA25B1">
              <w:rPr>
                <w:noProof/>
                <w:webHidden/>
              </w:rPr>
              <w:fldChar w:fldCharType="end"/>
            </w:r>
          </w:hyperlink>
        </w:p>
        <w:p w:rsidR="00EA25B1" w:rsidRDefault="009509B6">
          <w:pPr>
            <w:pStyle w:val="TOC2"/>
            <w:rPr>
              <w:rFonts w:asciiTheme="minorHAnsi" w:hAnsiTheme="minorHAnsi"/>
              <w:noProof/>
              <w:sz w:val="22"/>
            </w:rPr>
          </w:pPr>
          <w:hyperlink w:anchor="_Toc466904565" w:history="1">
            <w:r w:rsidR="00EA25B1" w:rsidRPr="002944E3">
              <w:rPr>
                <w:rStyle w:val="Hyperlink"/>
                <w:noProof/>
              </w:rPr>
              <w:t>5.9 IService, AbstractService, MostLikelyNextTrip</w:t>
            </w:r>
            <w:r w:rsidR="00EA25B1">
              <w:rPr>
                <w:noProof/>
                <w:webHidden/>
              </w:rPr>
              <w:tab/>
            </w:r>
            <w:r w:rsidR="00EA25B1">
              <w:rPr>
                <w:noProof/>
                <w:webHidden/>
              </w:rPr>
              <w:fldChar w:fldCharType="begin"/>
            </w:r>
            <w:r w:rsidR="00EA25B1">
              <w:rPr>
                <w:noProof/>
                <w:webHidden/>
              </w:rPr>
              <w:instrText xml:space="preserve"> PAGEREF _Toc466904565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9509B6">
          <w:pPr>
            <w:pStyle w:val="TOC2"/>
            <w:rPr>
              <w:rFonts w:asciiTheme="minorHAnsi" w:hAnsiTheme="minorHAnsi"/>
              <w:noProof/>
              <w:sz w:val="22"/>
            </w:rPr>
          </w:pPr>
          <w:hyperlink w:anchor="_Toc466904566" w:history="1">
            <w:r w:rsidR="00EA25B1" w:rsidRPr="002944E3">
              <w:rPr>
                <w:rStyle w:val="Hyperlink"/>
                <w:noProof/>
              </w:rPr>
              <w:t>5.10 ServiceRegistry</w:t>
            </w:r>
            <w:r w:rsidR="00EA25B1">
              <w:rPr>
                <w:noProof/>
                <w:webHidden/>
              </w:rPr>
              <w:tab/>
            </w:r>
            <w:r w:rsidR="00EA25B1">
              <w:rPr>
                <w:noProof/>
                <w:webHidden/>
              </w:rPr>
              <w:fldChar w:fldCharType="begin"/>
            </w:r>
            <w:r w:rsidR="00EA25B1">
              <w:rPr>
                <w:noProof/>
                <w:webHidden/>
              </w:rPr>
              <w:instrText xml:space="preserve"> PAGEREF _Toc466904566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9509B6">
          <w:pPr>
            <w:pStyle w:val="TOC2"/>
            <w:rPr>
              <w:rFonts w:asciiTheme="minorHAnsi" w:hAnsiTheme="minorHAnsi"/>
              <w:noProof/>
              <w:sz w:val="22"/>
            </w:rPr>
          </w:pPr>
          <w:hyperlink w:anchor="_Toc466904567" w:history="1">
            <w:r w:rsidR="00EA25B1" w:rsidRPr="002944E3">
              <w:rPr>
                <w:rStyle w:val="Hyperlink"/>
                <w:noProof/>
              </w:rPr>
              <w:t>5.11 Uso delle eccezioni</w:t>
            </w:r>
            <w:r w:rsidR="00EA25B1">
              <w:rPr>
                <w:noProof/>
                <w:webHidden/>
              </w:rPr>
              <w:tab/>
            </w:r>
            <w:r w:rsidR="00EA25B1">
              <w:rPr>
                <w:noProof/>
                <w:webHidden/>
              </w:rPr>
              <w:fldChar w:fldCharType="begin"/>
            </w:r>
            <w:r w:rsidR="00EA25B1">
              <w:rPr>
                <w:noProof/>
                <w:webHidden/>
              </w:rPr>
              <w:instrText xml:space="preserve"> PAGEREF _Toc466904567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9521EC" w:rsidRDefault="009521EC" w:rsidP="000C71B7">
      <w:pPr>
        <w:pStyle w:val="Heading1"/>
        <w:spacing w:before="120" w:after="160" w:line="360" w:lineRule="auto"/>
      </w:pPr>
      <w:bookmarkStart w:id="0" w:name="_Toc466904531"/>
      <w:r w:rsidRPr="00417126">
        <w:lastRenderedPageBreak/>
        <w:t>Introduzione</w:t>
      </w:r>
      <w:bookmarkEnd w:id="0"/>
    </w:p>
    <w:p w:rsidR="009509B6" w:rsidRDefault="00305595" w:rsidP="00235615">
      <w:r>
        <w:t>Si provi a pensare alla quantità di informazioni che uno smartphone raccoglie ogni giorno sul suo proprietario.</w:t>
      </w:r>
      <w:r w:rsidR="009A1FC1">
        <w:t xml:space="preserve"> Dati di localizzazione insieme a statistiche di utilizzo possono chiarire in quale parte del mondo ci troviamo e, ad esempio, che tipologia di occupazione abbiamo. Applicazioni di social networking tengono conto di etnia, orientamento politico, sessuale, religioso, insieme alla rete di amici e conoscenti acquisita dalla lista dei contatti. Calendario ed email possono aiutare in caso di impegni di lavoro; ci sono poi </w:t>
      </w:r>
      <w:proofErr w:type="spellStart"/>
      <w:r w:rsidR="009A1FC1">
        <w:t>app</w:t>
      </w:r>
      <w:proofErr w:type="spellEnd"/>
      <w:r w:rsidR="009A1FC1">
        <w:t xml:space="preserve"> per il monitoraggio dell’attività fisica che contengono grandi quantità di informazioni biometriche. Per concludere non si può dimenticare la presenza di </w:t>
      </w:r>
      <w:proofErr w:type="spellStart"/>
      <w:r w:rsidR="009A1FC1">
        <w:t>app</w:t>
      </w:r>
      <w:proofErr w:type="spellEnd"/>
      <w:r w:rsidR="009A1FC1">
        <w:t xml:space="preserve"> di e-commerce, gestione di account bancari e genericamente finanziarie. Il tacito accordo che porta avanti questa relazione fra gli utenti e </w:t>
      </w:r>
      <w:r w:rsidR="009509B6">
        <w:t xml:space="preserve">le aziende che erogano servizi accessibili via Internet consiste nella rinuncia da parte dell’utilizzatore del controllo sui propri dati e sull’uso che ne viene fatto in cambio di servizi gratuiti o a basso prezzo. </w:t>
      </w:r>
      <w:r w:rsidR="009509B6" w:rsidRPr="00417126">
        <w:rPr>
          <w:rFonts w:cs="Times New Roman"/>
          <w:szCs w:val="24"/>
        </w:rPr>
        <w:t>La quantità di informazioni raccolte non si limita a ciò che l’utente sceglie di condividere (foto, email, transazioni online), ma comprende anche dati osservati (abitudini di navigazione, dati di geolocalizzazione) e deduzioni (</w:t>
      </w:r>
      <w:proofErr w:type="spellStart"/>
      <w:r w:rsidR="009509B6" w:rsidRPr="00417126">
        <w:rPr>
          <w:rFonts w:cs="Times New Roman"/>
          <w:i/>
          <w:szCs w:val="24"/>
        </w:rPr>
        <w:t>targeted</w:t>
      </w:r>
      <w:proofErr w:type="spellEnd"/>
      <w:r w:rsidR="009509B6" w:rsidRPr="00417126">
        <w:rPr>
          <w:rFonts w:cs="Times New Roman"/>
          <w:i/>
          <w:szCs w:val="24"/>
        </w:rPr>
        <w:t xml:space="preserve"> advertising</w:t>
      </w:r>
      <w:r w:rsidR="009509B6" w:rsidRPr="00417126">
        <w:rPr>
          <w:rFonts w:cs="Times New Roman"/>
          <w:szCs w:val="24"/>
        </w:rPr>
        <w:t>, previsioni sul flusso del traffico).</w:t>
      </w:r>
      <w:r w:rsidR="009509B6">
        <w:rPr>
          <w:rFonts w:cs="Times New Roman"/>
          <w:szCs w:val="24"/>
        </w:rPr>
        <w:t xml:space="preserve"> </w:t>
      </w:r>
    </w:p>
    <w:p w:rsidR="00EB7B82" w:rsidRDefault="009509B6" w:rsidP="00235615">
      <w:r>
        <w:t xml:space="preserve">Tuttavia, in questo contesto è in crescita una contro-tendenza che vede un numero sempre più crescente di utenti insoddisfatti </w:t>
      </w:r>
      <w:r w:rsidR="00C20513">
        <w:t>dell’uso dei propri dati personali \</w:t>
      </w:r>
      <w:proofErr w:type="spellStart"/>
      <w:r w:rsidR="00C20513">
        <w:t>cite</w:t>
      </w:r>
      <w:proofErr w:type="spellEnd"/>
      <w:r w:rsidR="00C20513">
        <w:t xml:space="preserve"> \</w:t>
      </w:r>
      <w:proofErr w:type="spellStart"/>
      <w:r w:rsidR="00C20513">
        <w:t>cite</w:t>
      </w:r>
      <w:proofErr w:type="spellEnd"/>
      <w:r w:rsidR="00C20513">
        <w:t xml:space="preserve">. L’esplorazione in ambito scientifico di soluzioni che offrono una maggiore tutela della privacy si affianca ad una crescente attenzione da parte dell’opinione pubblica e delle istituzioni (adozione del regolamento generale sulla protezione dei dati </w:t>
      </w:r>
      <w:r w:rsidR="001E744D">
        <w:t>da parte dell’Unione Europea \</w:t>
      </w:r>
      <w:proofErr w:type="spellStart"/>
      <w:r w:rsidR="001E744D">
        <w:t>cite</w:t>
      </w:r>
      <w:proofErr w:type="spellEnd"/>
      <w:r w:rsidR="001E744D">
        <w:t>{}).</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E3137A">
        <w:rPr>
          <w:rFonts w:cs="Times New Roman"/>
          <w:iCs/>
          <w:szCs w:val="24"/>
        </w:rPr>
        <w:t xml:space="preserve">si sviluppa il modello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xml:space="preserve">, come ad esempio la </w:t>
      </w:r>
      <w:r w:rsidR="00CC43A3" w:rsidRPr="00417126">
        <w:rPr>
          <w:rFonts w:cs="Times New Roman"/>
          <w:iCs/>
          <w:szCs w:val="24"/>
        </w:rPr>
        <w:lastRenderedPageBreak/>
        <w:t>possibilità di contenere in modo sicuro i dati personali dell’utente e offrire interoperabilità fra diversi servizi, utilizzando concretamente i dati memorizzati.</w:t>
      </w:r>
    </w:p>
    <w:p w:rsidR="00E3137A" w:rsidRDefault="00584CF5" w:rsidP="000C71B7">
      <w:pPr>
        <w:rPr>
          <w:rFonts w:cs="Times New Roman"/>
          <w:szCs w:val="24"/>
        </w:rPr>
      </w:pPr>
      <w:r w:rsidRPr="00417126">
        <w:rPr>
          <w:rFonts w:cs="Times New Roman"/>
          <w:szCs w:val="24"/>
        </w:rPr>
        <w:t>Questa tesi si propone di studiare i concetti fon</w:t>
      </w:r>
      <w:r w:rsidR="00E3137A">
        <w:rPr>
          <w:rFonts w:cs="Times New Roman"/>
          <w:szCs w:val="24"/>
        </w:rPr>
        <w:t xml:space="preserve">damentali alla base del modello </w:t>
      </w:r>
      <w:proofErr w:type="spellStart"/>
      <w:r w:rsidRPr="00417126">
        <w:rPr>
          <w:rFonts w:cs="Times New Roman"/>
          <w:i/>
          <w:szCs w:val="24"/>
        </w:rPr>
        <w:t>MyData</w:t>
      </w:r>
      <w:proofErr w:type="spellEnd"/>
      <w:r w:rsidRPr="00417126">
        <w:rPr>
          <w:rFonts w:cs="Times New Roman"/>
          <w:szCs w:val="24"/>
        </w:rPr>
        <w:t>, e</w:t>
      </w:r>
      <w:r w:rsidR="00E3137A">
        <w:rPr>
          <w:rFonts w:cs="Times New Roman"/>
          <w:szCs w:val="24"/>
        </w:rPr>
        <w:t xml:space="preserve"> </w:t>
      </w:r>
      <w:r w:rsidRPr="00417126">
        <w:rPr>
          <w:rFonts w:cs="Times New Roman"/>
          <w:szCs w:val="24"/>
        </w:rPr>
        <w:t>implementare un prototipo di gestore di dati personali che ne rispetti le specifiche.</w:t>
      </w:r>
    </w:p>
    <w:p w:rsidR="00CC43A3" w:rsidRPr="00417126" w:rsidRDefault="00584CF5" w:rsidP="000C71B7">
      <w:pPr>
        <w:rPr>
          <w:rFonts w:cs="Times New Roman"/>
          <w:szCs w:val="24"/>
        </w:rPr>
      </w:pPr>
      <w:r w:rsidRPr="00417126">
        <w:rPr>
          <w:rFonts w:cs="Times New Roman"/>
          <w:szCs w:val="24"/>
        </w:rPr>
        <w:t xml:space="preserv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w:t>
      </w:r>
      <w:r w:rsidR="00E3137A">
        <w:rPr>
          <w:rFonts w:cs="Times New Roman"/>
          <w:szCs w:val="24"/>
        </w:rPr>
        <w:t>elle</w:t>
      </w:r>
      <w:r w:rsidRPr="00417126">
        <w:rPr>
          <w:rFonts w:cs="Times New Roman"/>
          <w:szCs w:val="24"/>
        </w:rPr>
        <w:t xml:space="preserve"> politiche di sicurezza è fondamentale</w:t>
      </w:r>
      <w:r w:rsidR="00812F33" w:rsidRPr="00417126">
        <w:rPr>
          <w:rFonts w:cs="Times New Roman"/>
          <w:szCs w:val="24"/>
        </w:rPr>
        <w:t>: anche se la 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1" w:name="_Toc466904532"/>
      <w:r w:rsidRPr="00417126">
        <w:t>1 MyData</w:t>
      </w:r>
      <w:r w:rsidR="005B00CF" w:rsidRPr="00417126">
        <w:t>, Big Data</w:t>
      </w:r>
      <w:bookmarkEnd w:id="1"/>
    </w:p>
    <w:p w:rsidR="00E33816" w:rsidRDefault="00502E06" w:rsidP="000C71B7">
      <w:pPr>
        <w:rPr>
          <w:rFonts w:cs="Times New Roman"/>
          <w:szCs w:val="24"/>
        </w:rPr>
      </w:pPr>
      <w:r w:rsidRPr="00417126">
        <w:rPr>
          <w:rFonts w:cs="Times New Roman"/>
          <w:szCs w:val="24"/>
        </w:rPr>
        <w:t>Attualmente, grandi quantità di dati</w:t>
      </w:r>
      <w:r w:rsidR="00E3137A">
        <w:rPr>
          <w:rFonts w:cs="Times New Roman"/>
          <w:szCs w:val="24"/>
        </w:rPr>
        <w:t xml:space="preserve"> vengono continuamente raccolti</w:t>
      </w:r>
      <w:r w:rsidRPr="00417126">
        <w:rPr>
          <w:rFonts w:cs="Times New Roman"/>
          <w:szCs w:val="24"/>
        </w:rPr>
        <w:t xml:space="preserve"> senza </w:t>
      </w:r>
      <w:r w:rsidR="00E3137A">
        <w:rPr>
          <w:rFonts w:cs="Times New Roman"/>
          <w:szCs w:val="24"/>
        </w:rPr>
        <w:t>utilizzarne</w:t>
      </w:r>
      <w:r w:rsidRPr="00417126">
        <w:rPr>
          <w:rFonts w:cs="Times New Roman"/>
          <w:szCs w:val="24"/>
        </w:rPr>
        <w:t xml:space="preserve"> pienamente la ricchezza dell’informazione.</w:t>
      </w:r>
      <w:r w:rsidR="00C53C9C" w:rsidRPr="00417126">
        <w:rPr>
          <w:rFonts w:cs="Times New Roman"/>
          <w:szCs w:val="24"/>
        </w:rPr>
        <w:t xml:space="preserve"> Il loro percorso e le operazioni di processamento a cui vengono sottoposti sono sempre più numerose e </w:t>
      </w:r>
      <w:r w:rsidR="00E3137A">
        <w:rPr>
          <w:rFonts w:cs="Times New Roman"/>
          <w:szCs w:val="24"/>
        </w:rPr>
        <w:t>cresce</w:t>
      </w:r>
      <w:r w:rsidR="00C53C9C" w:rsidRPr="00417126">
        <w:rPr>
          <w:rFonts w:cs="Times New Roman"/>
          <w:szCs w:val="24"/>
        </w:rPr>
        <w:t xml:space="preserve"> la difficoltà nel </w:t>
      </w:r>
      <w:r w:rsidR="00E3137A">
        <w:rPr>
          <w:rFonts w:cs="Times New Roman"/>
          <w:szCs w:val="24"/>
        </w:rPr>
        <w:t>conservarne</w:t>
      </w:r>
      <w:r w:rsidR="00C53C9C" w:rsidRPr="00417126">
        <w:rPr>
          <w:rFonts w:cs="Times New Roman"/>
          <w:szCs w:val="24"/>
        </w:rPr>
        <w:t xml:space="preserve"> </w:t>
      </w:r>
      <w:r w:rsidR="00E3137A">
        <w:rPr>
          <w:rFonts w:cs="Times New Roman"/>
          <w:szCs w:val="24"/>
        </w:rPr>
        <w:t>le tracce</w:t>
      </w:r>
      <w:r w:rsidR="00C53C9C" w:rsidRPr="00417126">
        <w:rPr>
          <w:rFonts w:cs="Times New Roman"/>
          <w:szCs w:val="24"/>
        </w:rPr>
        <w:t>.</w:t>
      </w:r>
      <w:r w:rsidRPr="00417126">
        <w:rPr>
          <w:rFonts w:cs="Times New Roman"/>
          <w:szCs w:val="24"/>
        </w:rPr>
        <w:t xml:space="preserve"> Inoltre, l’utilizzo di software proprietari limita l</w:t>
      </w:r>
      <w:r w:rsidR="00E3137A">
        <w:rPr>
          <w:rFonts w:cs="Times New Roman"/>
          <w:szCs w:val="24"/>
        </w:rPr>
        <w:t>a</w:t>
      </w:r>
      <w:r w:rsidRPr="00417126">
        <w:rPr>
          <w:rFonts w:cs="Times New Roman"/>
          <w:szCs w:val="24"/>
        </w:rPr>
        <w:t xml:space="preserv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w:t>
      </w:r>
      <w:r w:rsidR="00E3137A">
        <w:rPr>
          <w:rFonts w:cs="Times New Roman"/>
          <w:szCs w:val="24"/>
        </w:rPr>
        <w:t>tale</w:t>
      </w:r>
      <w:r w:rsidR="005B00CF" w:rsidRPr="00417126">
        <w:rPr>
          <w:rFonts w:cs="Times New Roman"/>
          <w:szCs w:val="24"/>
        </w:rPr>
        <w:t xml:space="preserve">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Default="001E744D" w:rsidP="002D4202">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Pr="00417126">
        <w:rPr>
          <w:rFonts w:cs="Times New Roman"/>
          <w:szCs w:val="24"/>
        </w:rPr>
        <w:t xml:space="preserve">, </w:t>
      </w:r>
      <w:r>
        <w:rPr>
          <w:rFonts w:cs="Times New Roman"/>
          <w:szCs w:val="24"/>
        </w:rPr>
        <w:t>dal</w:t>
      </w:r>
      <w:r w:rsidRPr="00417126">
        <w:rPr>
          <w:rFonts w:cs="Times New Roman"/>
          <w:szCs w:val="24"/>
        </w:rPr>
        <w:t xml:space="preserve">l’idea di rafforzare i </w:t>
      </w:r>
      <w:r>
        <w:rPr>
          <w:rFonts w:cs="Times New Roman"/>
          <w:szCs w:val="24"/>
        </w:rPr>
        <w:t>diritti digitali dell’individuo, e di offrire un modello per la gestione di dati personali che aderisca al</w:t>
      </w:r>
      <w:r w:rsidRPr="00417126">
        <w:rPr>
          <w:rFonts w:cs="Times New Roman"/>
          <w:szCs w:val="24"/>
        </w:rPr>
        <w:t>la stringente legislazione europea sull</w:t>
      </w:r>
      <w:r>
        <w:rPr>
          <w:rFonts w:cs="Times New Roman"/>
          <w:szCs w:val="24"/>
        </w:rPr>
        <w:t>a</w:t>
      </w:r>
      <w:r w:rsidR="00E822A1">
        <w:rPr>
          <w:rFonts w:cs="Times New Roman"/>
          <w:szCs w:val="24"/>
        </w:rPr>
        <w:t xml:space="preserve"> loro</w:t>
      </w:r>
      <w:r>
        <w:rPr>
          <w:rFonts w:cs="Times New Roman"/>
          <w:szCs w:val="24"/>
        </w:rPr>
        <w:t xml:space="preserve"> </w:t>
      </w:r>
      <w:r w:rsidR="00E822A1">
        <w:rPr>
          <w:rFonts w:cs="Times New Roman"/>
          <w:szCs w:val="24"/>
        </w:rPr>
        <w:t>tutela</w:t>
      </w:r>
      <w:r>
        <w:rPr>
          <w:rFonts w:cs="Times New Roman"/>
          <w:szCs w:val="24"/>
        </w:rPr>
        <w:t xml:space="preserve">. Inoltre, </w:t>
      </w:r>
      <w:proofErr w:type="spellStart"/>
      <w:r w:rsidR="005B00CF" w:rsidRPr="00E3137A">
        <w:rPr>
          <w:rFonts w:cs="Times New Roman"/>
          <w:i/>
          <w:szCs w:val="24"/>
        </w:rPr>
        <w:t>MyData</w:t>
      </w:r>
      <w:proofErr w:type="spellEnd"/>
      <w:r w:rsidR="005B00CF" w:rsidRPr="00417126">
        <w:rPr>
          <w:rFonts w:cs="Times New Roman"/>
          <w:szCs w:val="24"/>
        </w:rPr>
        <w:t xml:space="preserve"> cerca di trovare una risposta a questi temi attraverso un cambio di paradigma che ponga l’utente al centro, </w:t>
      </w:r>
      <w:r w:rsidR="00E3137A">
        <w:rPr>
          <w:rFonts w:cs="Times New Roman"/>
          <w:szCs w:val="24"/>
        </w:rPr>
        <w:t>attribuendogli la capacità</w:t>
      </w:r>
      <w:r w:rsidR="005B00CF" w:rsidRPr="00417126">
        <w:rPr>
          <w:rFonts w:cs="Times New Roman"/>
          <w:szCs w:val="24"/>
        </w:rPr>
        <w:t xml:space="preserve"> di gestire i propri dati personali e </w:t>
      </w:r>
      <w:r w:rsidR="00A20C40">
        <w:rPr>
          <w:rFonts w:cs="Times New Roman"/>
          <w:szCs w:val="24"/>
        </w:rPr>
        <w:t xml:space="preserve">di comprendere </w:t>
      </w:r>
      <w:r w:rsidR="005B00CF" w:rsidRPr="00417126">
        <w:rPr>
          <w:rFonts w:cs="Times New Roman"/>
          <w:szCs w:val="24"/>
        </w:rPr>
        <w:t>l’uso che ne viene fatto.</w:t>
      </w:r>
      <w:r w:rsidR="00E822A1">
        <w:rPr>
          <w:rFonts w:cs="Times New Roman"/>
          <w:szCs w:val="24"/>
        </w:rPr>
        <w:t xml:space="preserve"> Ulteriori benefici includerebbero l’aumento della qualità del servizio ricevuto</w:t>
      </w:r>
      <w:r w:rsidR="002D4202">
        <w:rPr>
          <w:rFonts w:cs="Times New Roman"/>
          <w:szCs w:val="24"/>
        </w:rPr>
        <w:t>, grazie ad una più consapevole condivisione (poiché informata) dei propri dati. Scenari futuri includono la possibilità di fornire</w:t>
      </w:r>
      <w:r w:rsidR="00A20C40">
        <w:rPr>
          <w:rFonts w:cs="Times New Roman"/>
          <w:szCs w:val="24"/>
        </w:rPr>
        <w:t xml:space="preserve"> conoscenze</w:t>
      </w:r>
      <w:r w:rsidR="001A37BA" w:rsidRPr="00417126">
        <w:rPr>
          <w:rFonts w:cs="Times New Roman"/>
          <w:szCs w:val="24"/>
        </w:rPr>
        <w:t xml:space="preserve"> </w:t>
      </w:r>
      <w:r w:rsidR="001A37BA" w:rsidRPr="00417126">
        <w:rPr>
          <w:rFonts w:cs="Times New Roman"/>
          <w:szCs w:val="24"/>
        </w:rPr>
        <w:lastRenderedPageBreak/>
        <w:t>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w:t>
      </w:r>
      <w:r w:rsidR="00252316">
        <w:rPr>
          <w:rFonts w:cs="Times New Roman"/>
          <w:szCs w:val="24"/>
        </w:rPr>
        <w:t>anche attraverso la</w:t>
      </w:r>
      <w:r w:rsidR="005314B2">
        <w:rPr>
          <w:rFonts w:cs="Times New Roman"/>
          <w:szCs w:val="24"/>
        </w:rPr>
        <w:t xml:space="preserve">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2D4202" w:rsidP="000C71B7">
      <w:pPr>
        <w:rPr>
          <w:rFonts w:cs="Times New Roman"/>
          <w:szCs w:val="24"/>
        </w:rPr>
      </w:pPr>
      <w:r>
        <w:rPr>
          <w:rFonts w:cs="Times New Roman"/>
          <w:szCs w:val="24"/>
        </w:rPr>
        <w:t xml:space="preserve">Vi sono in aggiunta benefici anche in termini di sviluppo software.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w:t>
      </w:r>
      <w:r w:rsidR="00252316">
        <w:rPr>
          <w:rFonts w:cs="Times New Roman"/>
          <w:szCs w:val="24"/>
        </w:rPr>
        <w:t>consentendo</w:t>
      </w:r>
      <w:r w:rsidR="00B84F15" w:rsidRPr="00417126">
        <w:rPr>
          <w:rFonts w:cs="Times New Roman"/>
          <w:szCs w:val="24"/>
        </w:rPr>
        <w:t xml:space="preserve"> alle aziende di sviluppare i </w:t>
      </w:r>
      <w:r>
        <w:rPr>
          <w:rFonts w:cs="Times New Roman"/>
          <w:szCs w:val="24"/>
        </w:rPr>
        <w:t xml:space="preserve">servizi informatici </w:t>
      </w:r>
      <w:r w:rsidR="00B84F15" w:rsidRPr="00417126">
        <w:rPr>
          <w:rFonts w:cs="Times New Roman"/>
          <w:szCs w:val="24"/>
        </w:rPr>
        <w:t xml:space="preserve">in maniera meno vincolata, acquisendo al contempo la fiducia del cliente grazie alla trasparenza e all’affidabilità garantite da </w:t>
      </w:r>
      <w:proofErr w:type="spellStart"/>
      <w:r w:rsidR="00B84F15" w:rsidRPr="00252316">
        <w:rPr>
          <w:rFonts w:cs="Times New Roman"/>
          <w:i/>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t xml:space="preserve">Nel complesso, il paradigma </w:t>
      </w:r>
      <w:proofErr w:type="spellStart"/>
      <w:r w:rsidRPr="00252316">
        <w:rPr>
          <w:rFonts w:cs="Times New Roman"/>
          <w:i/>
          <w:szCs w:val="24"/>
        </w:rPr>
        <w:t>MyData</w:t>
      </w:r>
      <w:proofErr w:type="spellEnd"/>
      <w:r>
        <w:rPr>
          <w:rFonts w:cs="Times New Roman"/>
          <w:szCs w:val="24"/>
        </w:rPr>
        <w:t xml:space="preserve"> si contrappone all’attuale standard, Big Data, proponendo nuove soluzioni che non </w:t>
      </w:r>
      <w:r w:rsidR="00252316">
        <w:rPr>
          <w:rFonts w:cs="Times New Roman"/>
          <w:szCs w:val="24"/>
        </w:rPr>
        <w:t>trascurino</w:t>
      </w:r>
      <w:r>
        <w:rPr>
          <w:rFonts w:cs="Times New Roman"/>
          <w:szCs w:val="24"/>
        </w:rPr>
        <w:t xml:space="preserve"> la realtà d</w:t>
      </w:r>
      <w:r w:rsidR="00252316">
        <w:rPr>
          <w:rFonts w:cs="Times New Roman"/>
          <w:szCs w:val="24"/>
        </w:rPr>
        <w:t>el</w:t>
      </w:r>
      <w:r>
        <w:rPr>
          <w:rFonts w:cs="Times New Roman"/>
          <w:szCs w:val="24"/>
        </w:rPr>
        <w:t xml:space="preserve"> mercato in cui il software viene usato.</w:t>
      </w:r>
    </w:p>
    <w:p w:rsidR="00417126" w:rsidRDefault="007605E6" w:rsidP="000C71B7">
      <w:pPr>
        <w:pStyle w:val="Heading1"/>
        <w:rPr>
          <w:lang w:val="en-GB"/>
        </w:rPr>
      </w:pPr>
      <w:r w:rsidRPr="00B701B8">
        <w:rPr>
          <w:lang w:val="en-GB"/>
        </w:rPr>
        <w:br w:type="page"/>
      </w:r>
      <w:bookmarkStart w:id="2" w:name="_Toc466904533"/>
      <w:r w:rsidR="001A37BA" w:rsidRPr="00CA383D">
        <w:rPr>
          <w:lang w:val="en-GB"/>
        </w:rPr>
        <w:lastRenderedPageBreak/>
        <w:t xml:space="preserve">2 </w:t>
      </w:r>
      <w:r w:rsidR="00916656">
        <w:rPr>
          <w:lang w:val="en-GB"/>
        </w:rPr>
        <w:t>Smart Mobility</w:t>
      </w:r>
      <w:bookmarkEnd w:id="2"/>
    </w:p>
    <w:p w:rsidR="00916656" w:rsidRPr="00E30DDC" w:rsidRDefault="00916656" w:rsidP="000C71B7">
      <w:pPr>
        <w:pStyle w:val="Heading2"/>
        <w:spacing w:after="160" w:line="360" w:lineRule="auto"/>
        <w:rPr>
          <w:lang w:val="en-GB"/>
        </w:rPr>
      </w:pPr>
      <w:bookmarkStart w:id="3" w:name="_Toc466904534"/>
      <w:r w:rsidRPr="00E30DDC">
        <w:rPr>
          <w:lang w:val="en-GB"/>
        </w:rPr>
        <w:t>2.1 Mobility as a Service</w:t>
      </w:r>
      <w:bookmarkEnd w:id="3"/>
    </w:p>
    <w:p w:rsidR="00CA383D" w:rsidRPr="005219DB" w:rsidRDefault="00CA383D" w:rsidP="000C71B7">
      <w:pPr>
        <w:rPr>
          <w:rFonts w:cs="Times New Roman"/>
          <w:szCs w:val="24"/>
        </w:rPr>
      </w:pPr>
      <w:proofErr w:type="spellStart"/>
      <w:r w:rsidRPr="00252316">
        <w:rPr>
          <w:rFonts w:cs="Times New Roman"/>
          <w:i/>
          <w:szCs w:val="24"/>
        </w:rPr>
        <w:t>MyData</w:t>
      </w:r>
      <w:proofErr w:type="spellEnd"/>
      <w:r w:rsidR="00252316">
        <w:rPr>
          <w:rFonts w:cs="Times New Roman"/>
          <w:szCs w:val="24"/>
        </w:rPr>
        <w:t>, grazie al coinvolgimento del Ministero dei Trasporti,</w:t>
      </w:r>
      <w:r>
        <w:rPr>
          <w:rFonts w:cs="Times New Roman"/>
          <w:szCs w:val="24"/>
        </w:rPr>
        <w:t xml:space="preserve"> ha </w:t>
      </w:r>
      <w:r w:rsidR="00252316">
        <w:rPr>
          <w:rFonts w:cs="Times New Roman"/>
          <w:szCs w:val="24"/>
        </w:rPr>
        <w:t>avuto</w:t>
      </w:r>
      <w:r>
        <w:rPr>
          <w:rFonts w:cs="Times New Roman"/>
          <w:szCs w:val="24"/>
        </w:rPr>
        <w:t xml:space="preserve">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 </w:t>
      </w:r>
      <w:r w:rsidR="00F54F5B">
        <w:rPr>
          <w:rFonts w:cs="Times New Roman"/>
          <w:szCs w:val="24"/>
        </w:rPr>
        <w:t>Il progetto finlandese ha ricevuto</w:t>
      </w:r>
      <w:r w:rsidR="00252316">
        <w:rPr>
          <w:rFonts w:cs="Times New Roman"/>
          <w:szCs w:val="24"/>
        </w:rPr>
        <w:t xml:space="preserve"> un notevole slancio grazie al lavoro di</w:t>
      </w:r>
      <w:r w:rsidR="00F54F5B">
        <w:rPr>
          <w:rFonts w:cs="Times New Roman"/>
          <w:szCs w:val="24"/>
        </w:rPr>
        <w:t xml:space="preserve"> </w:t>
      </w:r>
      <w:r>
        <w:rPr>
          <w:rFonts w:cs="Times New Roman"/>
          <w:szCs w:val="24"/>
        </w:rPr>
        <w:t xml:space="preserve">tesi </w:t>
      </w:r>
      <w:r w:rsidR="00252316">
        <w:rPr>
          <w:rFonts w:cs="Times New Roman"/>
          <w:szCs w:val="24"/>
        </w:rPr>
        <w:t>svolto da</w:t>
      </w:r>
      <w:r>
        <w:rPr>
          <w:rFonts w:cs="Times New Roman"/>
          <w:szCs w:val="24"/>
        </w:rPr>
        <w:t xml:space="preserve">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w:t>
      </w:r>
      <w:r w:rsidR="00252316">
        <w:rPr>
          <w:rFonts w:cs="Times New Roman"/>
          <w:szCs w:val="24"/>
        </w:rPr>
        <w:t>propone</w:t>
      </w:r>
      <w:r w:rsidR="005219DB">
        <w:rPr>
          <w:rFonts w:cs="Times New Roman"/>
          <w:szCs w:val="24"/>
        </w:rPr>
        <w:t xml:space="preserve"> un nuovo concetto di mobilità per la </w:t>
      </w:r>
      <w:r w:rsidR="00AD7BFC">
        <w:rPr>
          <w:rFonts w:cs="Times New Roman"/>
          <w:szCs w:val="24"/>
        </w:rPr>
        <w:t>città</w:t>
      </w:r>
      <w:r w:rsidR="005219DB">
        <w:rPr>
          <w:rFonts w:cs="Times New Roman"/>
          <w:szCs w:val="24"/>
        </w:rPr>
        <w:t xml:space="preserve"> di Helsinki</w:t>
      </w:r>
      <w:r w:rsidR="00252316">
        <w:rPr>
          <w:rFonts w:cs="Times New Roman"/>
          <w:szCs w:val="24"/>
        </w:rPr>
        <w:t xml:space="preserve"> per </w:t>
      </w:r>
      <w:r w:rsidR="005219DB">
        <w:rPr>
          <w:rFonts w:cs="Times New Roman"/>
          <w:szCs w:val="24"/>
        </w:rPr>
        <w:t>rispondere</w:t>
      </w:r>
      <w:r w:rsidR="00AD7BFC">
        <w:rPr>
          <w:rFonts w:cs="Times New Roman"/>
          <w:szCs w:val="24"/>
        </w:rPr>
        <w:t xml:space="preserve"> alle </w:t>
      </w:r>
      <w:r w:rsidR="00252316">
        <w:rPr>
          <w:rFonts w:cs="Times New Roman"/>
          <w:szCs w:val="24"/>
        </w:rPr>
        <w:t xml:space="preserve">sfide </w:t>
      </w:r>
      <w:r w:rsidR="00AD7BFC">
        <w:rPr>
          <w:rFonts w:cs="Times New Roman"/>
          <w:szCs w:val="24"/>
        </w:rPr>
        <w:t>sempre più frequenti poste al settore dei trasporti.</w:t>
      </w:r>
      <w:r w:rsidR="004F6C2A">
        <w:rPr>
          <w:rFonts w:cs="Times New Roman"/>
          <w:szCs w:val="24"/>
        </w:rPr>
        <w:t xml:space="preserve"> Le principali difficoltà risiedono nell’inaffidabilità dei mezzi pubblici</w:t>
      </w:r>
      <w:r w:rsidR="00252316">
        <w:rPr>
          <w:rFonts w:cs="Times New Roman"/>
          <w:szCs w:val="24"/>
        </w:rPr>
        <w:t>,</w:t>
      </w:r>
      <w:r w:rsidR="004F6C2A">
        <w:rPr>
          <w:rFonts w:cs="Times New Roman"/>
          <w:szCs w:val="24"/>
        </w:rPr>
        <w:t xml:space="preserve"> unico modo per raggiungere determinate mete, comparata con la difficoltà </w:t>
      </w:r>
      <w:r w:rsidR="00252316">
        <w:rPr>
          <w:rFonts w:cs="Times New Roman"/>
          <w:szCs w:val="24"/>
        </w:rPr>
        <w:t>ad</w:t>
      </w:r>
      <w:r w:rsidR="004F6C2A">
        <w:rPr>
          <w:rFonts w:cs="Times New Roman"/>
          <w:szCs w:val="24"/>
        </w:rPr>
        <w:t xml:space="preserve"> usare l’auto di proprietà, causa </w:t>
      </w:r>
      <w:r w:rsidR="00252316">
        <w:rPr>
          <w:rFonts w:cs="Times New Roman"/>
          <w:szCs w:val="24"/>
        </w:rPr>
        <w:t>mancanza</w:t>
      </w:r>
      <w:r w:rsidR="004F6C2A">
        <w:rPr>
          <w:rFonts w:cs="Times New Roman"/>
          <w:szCs w:val="24"/>
        </w:rPr>
        <w:t xml:space="preserve"> parcheggi o </w:t>
      </w:r>
      <w:r w:rsidR="00252316">
        <w:rPr>
          <w:rFonts w:cs="Times New Roman"/>
          <w:szCs w:val="24"/>
        </w:rPr>
        <w:t>rischio di</w:t>
      </w:r>
      <w:r w:rsidR="004F6C2A">
        <w:rPr>
          <w:rFonts w:cs="Times New Roman"/>
          <w:szCs w:val="24"/>
        </w:rPr>
        <w:t xml:space="preserve"> </w:t>
      </w:r>
      <w:r w:rsidR="00252316">
        <w:rPr>
          <w:rFonts w:cs="Times New Roman"/>
          <w:szCs w:val="24"/>
        </w:rPr>
        <w:t xml:space="preserve">ingorghi </w:t>
      </w:r>
      <w:r w:rsidR="004F6C2A">
        <w:rPr>
          <w:rFonts w:cs="Times New Roman"/>
          <w:szCs w:val="24"/>
        </w:rPr>
        <w:t>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w:t>
      </w:r>
      <w:r w:rsidR="00252316">
        <w:rPr>
          <w:rFonts w:cs="Times New Roman"/>
          <w:szCs w:val="24"/>
        </w:rPr>
        <w:t>ce si applica anche ai</w:t>
      </w:r>
      <w:r w:rsidR="00E018C4">
        <w:rPr>
          <w:rFonts w:cs="Times New Roman"/>
          <w:szCs w:val="24"/>
        </w:rPr>
        <w:t xml:space="preserv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w:t>
      </w:r>
      <w:r w:rsidR="00252316">
        <w:rPr>
          <w:rFonts w:cs="Times New Roman"/>
          <w:szCs w:val="24"/>
        </w:rPr>
        <w:t>consentirebbe</w:t>
      </w:r>
      <w:r w:rsidR="001A37BA" w:rsidRPr="00417126">
        <w:rPr>
          <w:rFonts w:cs="Times New Roman"/>
          <w:szCs w:val="24"/>
        </w:rPr>
        <w:t xml:space="preserve"> di aumentare l’efficienza </w:t>
      </w:r>
      <w:r w:rsidR="00252316">
        <w:rPr>
          <w:rFonts w:cs="Times New Roman"/>
          <w:szCs w:val="24"/>
        </w:rPr>
        <w:t>nell’uso de</w:t>
      </w:r>
      <w:r w:rsidR="001A37BA" w:rsidRPr="00417126">
        <w:rPr>
          <w:rFonts w:cs="Times New Roman"/>
          <w:szCs w:val="24"/>
        </w:rPr>
        <w:t xml:space="preserve">i mezzi </w:t>
      </w:r>
      <w:r w:rsidR="00EC63DA">
        <w:rPr>
          <w:rFonts w:cs="Times New Roman"/>
          <w:szCs w:val="24"/>
        </w:rPr>
        <w:t>di trasporto</w:t>
      </w:r>
      <w:r w:rsidR="001A37BA" w:rsidRPr="00417126">
        <w:rPr>
          <w:rFonts w:cs="Times New Roman"/>
          <w:szCs w:val="24"/>
        </w:rPr>
        <w:t>,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w:t>
      </w:r>
      <w:r w:rsidR="00252316">
        <w:rPr>
          <w:rFonts w:cs="Times New Roman"/>
          <w:szCs w:val="24"/>
        </w:rPr>
        <w:t>e</w:t>
      </w:r>
      <w:r w:rsidR="00EC63DA">
        <w:rPr>
          <w:rFonts w:cs="Times New Roman"/>
          <w:szCs w:val="24"/>
        </w:rPr>
        <w:t>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una startup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w:t>
      </w:r>
      <w:r w:rsidR="00252316">
        <w:rPr>
          <w:rFonts w:cs="Times New Roman"/>
          <w:szCs w:val="24"/>
        </w:rPr>
        <w:t>urbano</w:t>
      </w:r>
      <w:r w:rsidR="00F54F5B">
        <w:rPr>
          <w:rFonts w:cs="Times New Roman"/>
          <w:szCs w:val="24"/>
        </w:rPr>
        <w:t>, i taxi e le auto a noleggio, ma saranno presto integrati anche i servizi di bike e car sharing.</w:t>
      </w:r>
    </w:p>
    <w:p w:rsidR="001A37BA" w:rsidRPr="00417126" w:rsidRDefault="001A37BA" w:rsidP="000C71B7">
      <w:pPr>
        <w:pStyle w:val="Heading3"/>
        <w:spacing w:after="160" w:line="360" w:lineRule="auto"/>
      </w:pPr>
      <w:bookmarkStart w:id="4" w:name="_Toc466904535"/>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4"/>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252316" w:rsidRDefault="001A37BA" w:rsidP="000C71B7">
      <w:pPr>
        <w:rPr>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00252316">
        <w:rPr>
          <w:szCs w:val="24"/>
        </w:rPr>
        <w:t>:</w:t>
      </w:r>
    </w:p>
    <w:p w:rsidR="001A37BA" w:rsidRPr="00B42F5C" w:rsidRDefault="001A37BA" w:rsidP="000C71B7">
      <w:pPr>
        <w:rPr>
          <w:rStyle w:val="HTMLCode"/>
          <w:rFonts w:eastAsiaTheme="minorEastAsia"/>
          <w:bCs/>
          <w:sz w:val="24"/>
          <w:szCs w:val="24"/>
        </w:rPr>
      </w:pPr>
      <w:proofErr w:type="spellStart"/>
      <w:r w:rsidRPr="00B42F5C">
        <w:rPr>
          <w:rStyle w:val="HTMLCode"/>
          <w:rFonts w:eastAsiaTheme="minorEastAsia"/>
          <w:bCs/>
          <w:sz w:val="24"/>
          <w:szCs w:val="24"/>
        </w:rPr>
        <w:t>requestSuggestions</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requestTransportModePreferences</w:t>
      </w:r>
      <w:proofErr w:type="spellEnd"/>
      <w:r w:rsidRPr="00B42F5C">
        <w:rPr>
          <w:rStyle w:val="HTMLCode"/>
          <w:rFonts w:eastAsiaTheme="minorEastAsia"/>
          <w:bCs/>
          <w:sz w:val="24"/>
          <w:szCs w:val="24"/>
        </w:rPr>
        <w:t xml:space="preserve">(), </w:t>
      </w:r>
      <w:r w:rsidRPr="00B42F5C">
        <w:rPr>
          <w:rStyle w:val="HTMLCode"/>
          <w:rFonts w:ascii="Times New Roman" w:eastAsiaTheme="minorEastAsia" w:hAnsi="Times New Roman" w:cs="Times New Roman"/>
          <w:bCs/>
          <w:sz w:val="24"/>
          <w:szCs w:val="24"/>
        </w:rPr>
        <w:t>e</w:t>
      </w:r>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sendSearchedRoute</w:t>
      </w:r>
      <w:proofErr w:type="spellEnd"/>
      <w:r w:rsidRPr="00B42F5C">
        <w:rPr>
          <w:rStyle w:val="HTMLCode"/>
          <w:rFonts w:eastAsiaTheme="minorEastAsia"/>
          <w:bCs/>
          <w:sz w:val="24"/>
          <w:szCs w:val="24"/>
        </w:rPr>
        <w:t>(</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startLocation</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destination</w:t>
      </w:r>
      <w:proofErr w:type="spellEnd"/>
      <w:r w:rsidRPr="00B42F5C">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252316">
        <w:rPr>
          <w:rFonts w:cs="Times New Roman"/>
          <w:i/>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esempio la richiesta esplicita di un permesso (revocabile in ogni momento) per l’utilizzo di dati personali</w:t>
      </w:r>
      <w:r w:rsidR="00252316">
        <w:rPr>
          <w:rFonts w:cs="Times New Roman"/>
          <w:szCs w:val="24"/>
        </w:rPr>
        <w:t>,</w:t>
      </w:r>
      <w:r w:rsidRPr="00417126">
        <w:rPr>
          <w:rFonts w:cs="Times New Roman"/>
          <w:szCs w:val="24"/>
        </w:rPr>
        <w:t xml:space="preserve">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5" w:name="_Toc466904536"/>
      <w:r w:rsidRPr="00417126">
        <w:t>2.2 Smart Mobility for All</w:t>
      </w:r>
      <w:bookmarkEnd w:id="5"/>
    </w:p>
    <w:p w:rsidR="005314B2" w:rsidRDefault="005314B2" w:rsidP="000C71B7">
      <w:pPr>
        <w:rPr>
          <w:rFonts w:cs="Times New Roman"/>
          <w:szCs w:val="24"/>
        </w:rPr>
      </w:pPr>
      <w:r>
        <w:rPr>
          <w:rFonts w:cs="Times New Roman"/>
          <w:szCs w:val="24"/>
        </w:rPr>
        <w:t>Rimanendo sul filone della mobilità intelligente,</w:t>
      </w:r>
      <w:r w:rsidR="009C21C0">
        <w:rPr>
          <w:rFonts w:cs="Times New Roman"/>
          <w:szCs w:val="24"/>
        </w:rPr>
        <w:t xml:space="preserve"> il progetto Smart </w:t>
      </w:r>
      <w:proofErr w:type="spellStart"/>
      <w:r w:rsidR="009C21C0">
        <w:rPr>
          <w:rFonts w:cs="Times New Roman"/>
          <w:szCs w:val="24"/>
        </w:rPr>
        <w:t>Mobility</w:t>
      </w:r>
      <w:proofErr w:type="spellEnd"/>
      <w:r w:rsidR="009C21C0">
        <w:rPr>
          <w:rFonts w:cs="Times New Roman"/>
          <w:szCs w:val="24"/>
        </w:rPr>
        <w:t xml:space="preserve"> for </w:t>
      </w:r>
      <w:proofErr w:type="spellStart"/>
      <w:r w:rsidR="009C21C0">
        <w:rPr>
          <w:rFonts w:cs="Times New Roman"/>
          <w:szCs w:val="24"/>
        </w:rPr>
        <w:t>All</w:t>
      </w:r>
      <w:proofErr w:type="spellEnd"/>
      <w:r>
        <w:rPr>
          <w:rFonts w:cs="Times New Roman"/>
          <w:szCs w:val="24"/>
        </w:rPr>
        <w:t xml:space="preserve"> si sviluppa in modo indipendente da </w:t>
      </w:r>
      <w:proofErr w:type="spellStart"/>
      <w:r>
        <w:rPr>
          <w:rFonts w:cs="Times New Roman"/>
          <w:szCs w:val="24"/>
        </w:rPr>
        <w:t>MaaS</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w:t>
      </w:r>
      <w:r w:rsidR="009C21C0">
        <w:rPr>
          <w:rFonts w:cs="Times New Roman"/>
          <w:szCs w:val="24"/>
        </w:rPr>
        <w:t>la costruzione di</w:t>
      </w:r>
      <w:r w:rsidRPr="00417126">
        <w:rPr>
          <w:rFonts w:cs="Times New Roman"/>
          <w:szCs w:val="24"/>
        </w:rPr>
        <w:t xml:space="preserve"> un insieme di servizi di mobilità, potenzialmente anche per mezzi di trasporto molto diversi fra loro, che gestisca l’intero ciclo di vita di un viaggio, dalla prenotazione all’effettivo spostamento</w:t>
      </w:r>
      <w:r w:rsidR="009C21C0">
        <w:rPr>
          <w:rFonts w:cs="Times New Roman"/>
          <w:szCs w:val="24"/>
        </w:rPr>
        <w:t xml:space="preserve"> e all’arrivo a destinazione</w:t>
      </w:r>
      <w:r w:rsidRPr="00417126">
        <w:rPr>
          <w:rFonts w:cs="Times New Roman"/>
          <w:szCs w:val="24"/>
        </w:rPr>
        <w:t xml:space="preserve">.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w:t>
      </w:r>
      <w:r w:rsidR="009C21C0">
        <w:rPr>
          <w:rFonts w:cs="Times New Roman"/>
          <w:szCs w:val="24"/>
        </w:rPr>
        <w:t>sugli spostamenti futuri</w:t>
      </w:r>
      <w:r w:rsidRPr="00417126">
        <w:rPr>
          <w:rFonts w:cs="Times New Roman"/>
          <w:szCs w:val="24"/>
        </w:rPr>
        <w:t>,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 xml:space="preserve">Ancora in via di sviluppo, si </w:t>
      </w:r>
      <w:r w:rsidR="009C21C0">
        <w:rPr>
          <w:rFonts w:cs="Times New Roman"/>
          <w:szCs w:val="24"/>
        </w:rPr>
        <w:t>basa sul concetto di modularità</w:t>
      </w:r>
      <w:r>
        <w:rPr>
          <w:rFonts w:cs="Times New Roman"/>
          <w:szCs w:val="24"/>
        </w:rPr>
        <w:t xml:space="preserve"> che punta a fare di o</w:t>
      </w:r>
      <w:r w:rsidR="00DB2F48">
        <w:rPr>
          <w:rFonts w:cs="Times New Roman"/>
          <w:szCs w:val="24"/>
        </w:rPr>
        <w:t>gni servizio un modulo separato e indipendente.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All’interno dei vari componenti dell’infrastruttura si potrebbe prevedere un gestore di dati personali del quale si porta</w:t>
      </w:r>
      <w:r w:rsidR="009C21C0">
        <w:rPr>
          <w:rFonts w:cs="Times New Roman"/>
          <w:szCs w:val="24"/>
        </w:rPr>
        <w:t>,</w:t>
      </w:r>
      <w:r>
        <w:rPr>
          <w:rFonts w:cs="Times New Roman"/>
          <w:szCs w:val="24"/>
        </w:rPr>
        <w:t xml:space="preserve"> in questa tesi</w:t>
      </w:r>
      <w:r w:rsidR="009C21C0">
        <w:rPr>
          <w:rFonts w:cs="Times New Roman"/>
          <w:szCs w:val="24"/>
        </w:rPr>
        <w:t>, un esempio semplificato. I</w:t>
      </w:r>
      <w:r w:rsidR="001A37BA" w:rsidRPr="00417126">
        <w:rPr>
          <w:rFonts w:cs="Times New Roman"/>
          <w:szCs w:val="24"/>
        </w:rPr>
        <w:t>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6" w:name="_Toc466904537"/>
      <w:r>
        <w:t>2 ½ GDPR??</w:t>
      </w:r>
      <w:bookmarkEnd w:id="6"/>
    </w:p>
    <w:p w:rsidR="00314770" w:rsidRPr="00314770" w:rsidRDefault="00314770" w:rsidP="000C71B7"/>
    <w:p w:rsidR="001A37BA" w:rsidRDefault="001A37BA" w:rsidP="000C71B7">
      <w:pPr>
        <w:pStyle w:val="Heading1"/>
        <w:spacing w:before="120" w:after="160" w:line="360" w:lineRule="auto"/>
      </w:pPr>
      <w:bookmarkStart w:id="7" w:name="_Toc466904538"/>
      <w:r w:rsidRPr="00417126">
        <w:t>3 Architettura MyData</w:t>
      </w:r>
      <w:bookmarkEnd w:id="7"/>
    </w:p>
    <w:p w:rsidR="000039B6" w:rsidRPr="000039B6" w:rsidRDefault="000039B6" w:rsidP="000C71B7">
      <w:r>
        <w:t xml:space="preserve">Al fine di comprendere appieno le scelte effettuate all’interno del progetto, si </w:t>
      </w:r>
      <w:r w:rsidR="009C21C0">
        <w:t>evidenziano</w:t>
      </w:r>
      <w:r>
        <w:t xml:space="preserve"> brevemente le componenti e la struttura del modello </w:t>
      </w:r>
      <w:proofErr w:type="spellStart"/>
      <w:r w:rsidRPr="009C21C0">
        <w:rPr>
          <w:i/>
        </w:rPr>
        <w:t>MyData</w:t>
      </w:r>
      <w:proofErr w:type="spellEnd"/>
      <w:r>
        <w:t>.</w:t>
      </w:r>
    </w:p>
    <w:p w:rsidR="009521EC" w:rsidRPr="00417126" w:rsidRDefault="001A37BA" w:rsidP="000C71B7">
      <w:pPr>
        <w:pStyle w:val="Heading2"/>
        <w:spacing w:after="160" w:line="360" w:lineRule="auto"/>
      </w:pPr>
      <w:bookmarkStart w:id="8" w:name="_Toc466904539"/>
      <w:r w:rsidRPr="00417126">
        <w:t>3.</w:t>
      </w:r>
      <w:r w:rsidR="009521EC" w:rsidRPr="00417126">
        <w:t>1 Entità fondamentali</w:t>
      </w:r>
      <w:bookmarkEnd w:id="8"/>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9C21C0">
        <w:rPr>
          <w:rFonts w:cs="Times New Roman"/>
          <w:i/>
          <w:szCs w:val="24"/>
        </w:rPr>
        <w:t>MyData</w:t>
      </w:r>
      <w:proofErr w:type="spellEnd"/>
      <w:r w:rsidRPr="00417126">
        <w:rPr>
          <w:rFonts w:cs="Times New Roman"/>
          <w:szCs w:val="24"/>
        </w:rPr>
        <w:t xml:space="preserve"> si costruisce su quattro componenti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9C21C0">
        <w:rPr>
          <w:rFonts w:cs="Times New Roman"/>
          <w:i/>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xml:space="preserve">. </w:t>
      </w:r>
      <w:r w:rsidR="009C21C0">
        <w:rPr>
          <w:rFonts w:cs="Times New Roman"/>
          <w:szCs w:val="24"/>
        </w:rPr>
        <w:t>Esse</w:t>
      </w:r>
      <w:r w:rsidR="0017795C" w:rsidRPr="00417126">
        <w:rPr>
          <w:rFonts w:cs="Times New Roman"/>
          <w:szCs w:val="24"/>
        </w:rPr>
        <w:t xml:space="preserve"> sono</w:t>
      </w:r>
      <w:r w:rsidRPr="00417126">
        <w:rPr>
          <w:rFonts w:cs="Times New Roman"/>
          <w:szCs w:val="24"/>
        </w:rPr>
        <w:t xml:space="preserve"> </w:t>
      </w:r>
      <w:r w:rsidR="009C21C0">
        <w:rPr>
          <w:rFonts w:cs="Times New Roman"/>
          <w:szCs w:val="24"/>
        </w:rPr>
        <w:t>definite</w:t>
      </w:r>
      <w:r w:rsidRPr="00417126">
        <w:rPr>
          <w:rFonts w:cs="Times New Roman"/>
          <w:szCs w:val="24"/>
        </w:rPr>
        <w:t xml:space="preserv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sidRPr="009C21C0">
        <w:rPr>
          <w:rFonts w:cs="Times New Roman"/>
          <w:i/>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xml:space="preserve"> fra i quali vi sono la gestione degli utenti, dei servizi e delle interazioni che avvengono fra le due parti.</w:t>
      </w:r>
      <w:r w:rsidR="00243275">
        <w:rPr>
          <w:rFonts w:cs="Times New Roman"/>
          <w:szCs w:val="24"/>
        </w:rPr>
        <w:t xml:space="preserve"> </w:t>
      </w:r>
      <w:r w:rsidR="009C21C0">
        <w:rPr>
          <w:rFonts w:cs="Times New Roman"/>
          <w:szCs w:val="24"/>
        </w:rPr>
        <w:t>Esso si</w:t>
      </w:r>
      <w:r w:rsidR="00243275">
        <w:rPr>
          <w:rFonts w:cs="Times New Roman"/>
          <w:szCs w:val="24"/>
        </w:rPr>
        <w:t xml:space="preserve"> occupa anche di gestire l’Audit Log di tutte le operazioni che coinvolgono tali interazioni.</w:t>
      </w:r>
    </w:p>
    <w:p w:rsidR="005911FD" w:rsidRPr="00417126" w:rsidRDefault="001A37BA" w:rsidP="000C71B7">
      <w:pPr>
        <w:pStyle w:val="Heading2"/>
        <w:spacing w:after="160" w:line="360" w:lineRule="auto"/>
      </w:pPr>
      <w:bookmarkStart w:id="9" w:name="_Ref466761680"/>
      <w:bookmarkStart w:id="10" w:name="_Ref466761686"/>
      <w:bookmarkStart w:id="11" w:name="_Ref466761690"/>
      <w:bookmarkStart w:id="12" w:name="_Ref466761693"/>
      <w:bookmarkStart w:id="13" w:name="_Toc466904540"/>
      <w:r w:rsidRPr="00417126">
        <w:t>3</w:t>
      </w:r>
      <w:r w:rsidR="005911FD" w:rsidRPr="00417126">
        <w:t>.2 Service Registry, Service Linking</w:t>
      </w:r>
      <w:bookmarkEnd w:id="9"/>
      <w:bookmarkEnd w:id="10"/>
      <w:bookmarkEnd w:id="11"/>
      <w:bookmarkEnd w:id="12"/>
      <w:bookmarkEnd w:id="13"/>
    </w:p>
    <w:p w:rsidR="000039B6" w:rsidRDefault="009C21C0" w:rsidP="000C71B7">
      <w:pPr>
        <w:rPr>
          <w:rFonts w:cs="Times New Roman"/>
          <w:szCs w:val="24"/>
        </w:rPr>
      </w:pPr>
      <w:r>
        <w:rPr>
          <w:rFonts w:cs="Times New Roman"/>
          <w:szCs w:val="24"/>
        </w:rPr>
        <w:t>C</w:t>
      </w:r>
      <w:r w:rsidR="005D314D" w:rsidRPr="00417126">
        <w:rPr>
          <w:rFonts w:cs="Times New Roman"/>
          <w:szCs w:val="24"/>
        </w:rPr>
        <w:t xml:space="preserve">on </w:t>
      </w:r>
      <w:r w:rsidR="005D314D" w:rsidRPr="00417126">
        <w:rPr>
          <w:rFonts w:cs="Times New Roman"/>
          <w:i/>
          <w:szCs w:val="24"/>
        </w:rPr>
        <w:t xml:space="preserve">Service </w:t>
      </w:r>
      <w:proofErr w:type="spellStart"/>
      <w:r w:rsidR="005D314D" w:rsidRPr="00417126">
        <w:rPr>
          <w:rFonts w:cs="Times New Roman"/>
          <w:i/>
          <w:szCs w:val="24"/>
        </w:rPr>
        <w:t>Registry</w:t>
      </w:r>
      <w:proofErr w:type="spellEnd"/>
      <w:r w:rsidR="005D314D" w:rsidRPr="00417126">
        <w:rPr>
          <w:rFonts w:cs="Times New Roman"/>
          <w:szCs w:val="24"/>
        </w:rPr>
        <w:t xml:space="preserve"> </w:t>
      </w:r>
      <w:r>
        <w:rPr>
          <w:rFonts w:cs="Times New Roman"/>
          <w:szCs w:val="24"/>
        </w:rPr>
        <w:t xml:space="preserve">viene indicata </w:t>
      </w:r>
      <w:r w:rsidR="005D314D" w:rsidRPr="00417126">
        <w:rPr>
          <w:rFonts w:cs="Times New Roman"/>
          <w:szCs w:val="24"/>
        </w:rPr>
        <w:t>quella parte dell’</w:t>
      </w:r>
      <w:r w:rsidR="005D314D" w:rsidRPr="00417126">
        <w:rPr>
          <w:rFonts w:cs="Times New Roman"/>
          <w:i/>
          <w:szCs w:val="24"/>
        </w:rPr>
        <w:t>Operator</w:t>
      </w:r>
      <w:r w:rsidR="005D314D"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w:t>
      </w:r>
      <w:r w:rsidR="000039B6">
        <w:rPr>
          <w:rFonts w:cs="Times New Roman"/>
          <w:szCs w:val="24"/>
        </w:rPr>
        <w:lastRenderedPageBreak/>
        <w:t xml:space="preserve">funzionalità di </w:t>
      </w:r>
      <w:r w:rsidR="005D314D" w:rsidRPr="00417126">
        <w:rPr>
          <w:rFonts w:cs="Times New Roman"/>
          <w:i/>
          <w:szCs w:val="24"/>
        </w:rPr>
        <w:t xml:space="preserve">Service </w:t>
      </w:r>
      <w:proofErr w:type="spellStart"/>
      <w:r w:rsidR="005D314D"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9C21C0">
        <w:rPr>
          <w:rFonts w:cs="Times New Roman"/>
          <w:szCs w:val="24"/>
        </w:rPr>
        <w:t>edura di registrazione</w:t>
      </w:r>
      <w:r w:rsidR="003B1942" w:rsidRPr="00417126">
        <w:rPr>
          <w:rFonts w:cs="Times New Roman"/>
          <w:szCs w:val="24"/>
        </w:rPr>
        <w:t xml:space="preserv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Pr="00B701B8" w:rsidRDefault="007F52C5" w:rsidP="00824A9B">
      <w:pPr>
        <w:pStyle w:val="Heading3"/>
      </w:pPr>
      <w:bookmarkStart w:id="14" w:name="_Toc466904541"/>
      <w:r w:rsidRPr="00B701B8">
        <w:t xml:space="preserve">3.2.1 </w:t>
      </w:r>
      <w:proofErr w:type="spellStart"/>
      <w:r w:rsidRPr="00B701B8">
        <w:t>OA</w:t>
      </w:r>
      <w:r w:rsidR="00824A9B" w:rsidRPr="00B701B8">
        <w:t>uth</w:t>
      </w:r>
      <w:proofErr w:type="spellEnd"/>
      <w:r w:rsidR="00824A9B" w:rsidRPr="00B701B8">
        <w:t xml:space="preserve"> 2.0</w:t>
      </w:r>
      <w:bookmarkEnd w:id="14"/>
    </w:p>
    <w:p w:rsidR="00823F17" w:rsidRDefault="00823F17" w:rsidP="00823F17">
      <w:bookmarkStart w:id="15" w:name="_Toc466904542"/>
      <w:proofErr w:type="spellStart"/>
      <w:r>
        <w:t>OAuth</w:t>
      </w:r>
      <w:proofErr w:type="spellEnd"/>
      <w:r>
        <w:t xml:space="preserve"> è un protocollo per il controllo dei flussi di autorizzazioni fra mobile </w:t>
      </w:r>
      <w:proofErr w:type="spellStart"/>
      <w:r>
        <w:t>applications</w:t>
      </w:r>
      <w:proofErr w:type="spellEnd"/>
      <w:r>
        <w:t xml:space="preserve">, desktop </w:t>
      </w:r>
      <w:proofErr w:type="spellStart"/>
      <w:r>
        <w:t>applications</w:t>
      </w:r>
      <w:proofErr w:type="spellEnd"/>
      <w:r>
        <w:t>, dispositivi mobili, ecc. \</w:t>
      </w:r>
      <w:proofErr w:type="spellStart"/>
      <w:r>
        <w:t>cite</w:t>
      </w:r>
      <w:proofErr w:type="spellEnd"/>
      <w:r>
        <w:t xml:space="preserve">{}. Se ne dà un breve accenno in questa sede in quanto esso viene preso come esempio di implementazione di Service </w:t>
      </w:r>
      <w:proofErr w:type="spellStart"/>
      <w:r>
        <w:t>Linking</w:t>
      </w:r>
      <w:proofErr w:type="spellEnd"/>
      <w:r>
        <w:t xml:space="preserve"> all’interno delle specifiche di </w:t>
      </w:r>
      <w:proofErr w:type="spellStart"/>
      <w:r>
        <w:t>MyData</w:t>
      </w:r>
      <w:proofErr w:type="spellEnd"/>
      <w:r>
        <w:t xml:space="preserve"> \</w:t>
      </w:r>
      <w:proofErr w:type="spellStart"/>
      <w:r>
        <w:t>cite</w:t>
      </w:r>
      <w:proofErr w:type="spellEnd"/>
      <w:r>
        <w:t>{</w:t>
      </w:r>
      <w:proofErr w:type="spellStart"/>
      <w:r>
        <w:t>mydatastack</w:t>
      </w:r>
      <w:proofErr w:type="spellEnd"/>
      <w:r>
        <w:t>}.</w:t>
      </w:r>
    </w:p>
    <w:p w:rsidR="00823F17" w:rsidRDefault="00823F17" w:rsidP="00823F17">
      <w:r>
        <w:t xml:space="preserve">Le entità coinvolte nel protocollo di autorizzazione </w:t>
      </w:r>
      <w:r w:rsidR="004F7F8C">
        <w:t>le seguenti:</w:t>
      </w:r>
    </w:p>
    <w:p w:rsidR="00823F17" w:rsidRDefault="00823F17" w:rsidP="00823F17">
      <w:r>
        <w:t>\</w:t>
      </w:r>
      <w:proofErr w:type="spellStart"/>
      <w:r>
        <w:t>begin</w:t>
      </w:r>
      <w:proofErr w:type="spellEnd"/>
      <w:r>
        <w:t>{</w:t>
      </w:r>
      <w:proofErr w:type="spellStart"/>
      <w:r>
        <w:t>itemize</w:t>
      </w:r>
      <w:proofErr w:type="spellEnd"/>
      <w:r>
        <w:t>}</w:t>
      </w:r>
    </w:p>
    <w:p w:rsidR="00823F17" w:rsidRDefault="00823F17" w:rsidP="00823F17">
      <w:r>
        <w:t>\item Un’applicazione Client, che richiede l’accesso ad un account utente;</w:t>
      </w:r>
    </w:p>
    <w:p w:rsidR="00823F17" w:rsidRDefault="00823F17" w:rsidP="00823F17">
      <w:r>
        <w:t xml:space="preserve">\item Un Resource </w:t>
      </w:r>
      <w:proofErr w:type="spellStart"/>
      <w:r>
        <w:t>Owner</w:t>
      </w:r>
      <w:proofErr w:type="spellEnd"/>
      <w:r>
        <w:t>, spesso coincidente con l’utente finale, che accorda o nega l’accesso ad una porzione del suo account;</w:t>
      </w:r>
    </w:p>
    <w:p w:rsidR="00823F17" w:rsidRDefault="004F7F8C" w:rsidP="00823F17">
      <w:r>
        <w:t>\item U</w:t>
      </w:r>
      <w:r w:rsidR="00823F17">
        <w:t>n Resource Server</w:t>
      </w:r>
      <w:r>
        <w:t xml:space="preserve"> dove sono memorizzati gli account, che espone determinate API per l’accesso e discrimina le richieste legittime in base ad access token;</w:t>
      </w:r>
    </w:p>
    <w:p w:rsidR="004F7F8C" w:rsidRDefault="004F7F8C" w:rsidP="00823F17">
      <w:r>
        <w:lastRenderedPageBreak/>
        <w:t xml:space="preserve">\item Un </w:t>
      </w:r>
      <w:proofErr w:type="spellStart"/>
      <w:r>
        <w:t>Authorization</w:t>
      </w:r>
      <w:proofErr w:type="spellEnd"/>
      <w:r>
        <w:t xml:space="preserve"> Server che emette gli access token dopo aver provato l’identità dell’utente finale, e solo in caso quest’ultimo abbia acconsentito all’utilizzo dei suoi dati. Può coincidere con il Resource Server.</w:t>
      </w:r>
    </w:p>
    <w:p w:rsidR="004F7F8C" w:rsidRDefault="004F7F8C" w:rsidP="00823F17">
      <w:r>
        <w:t>\end{</w:t>
      </w:r>
      <w:proofErr w:type="spellStart"/>
      <w:r>
        <w:t>itemize</w:t>
      </w:r>
      <w:proofErr w:type="spellEnd"/>
      <w:r>
        <w:t>}</w:t>
      </w:r>
    </w:p>
    <w:p w:rsidR="004F7F8C" w:rsidRDefault="004F7F8C" w:rsidP="00823F17">
      <w:r>
        <w:t xml:space="preserve">È facilmente riscontrabile un’analogia con le entità descritte all’interno dell’architettura </w:t>
      </w:r>
      <w:proofErr w:type="spellStart"/>
      <w:r>
        <w:t>MyData</w:t>
      </w:r>
      <w:proofErr w:type="spellEnd"/>
      <w:r>
        <w:t xml:space="preserve">, ad esempio fra </w:t>
      </w:r>
      <w:proofErr w:type="spellStart"/>
      <w:r>
        <w:t>Sink</w:t>
      </w:r>
      <w:proofErr w:type="spellEnd"/>
      <w:r>
        <w:t xml:space="preserve"> e applicazione Client, fra Source e Resource Server, fra Account </w:t>
      </w:r>
      <w:proofErr w:type="spellStart"/>
      <w:r>
        <w:t>Owner</w:t>
      </w:r>
      <w:proofErr w:type="spellEnd"/>
      <w:r>
        <w:t xml:space="preserve"> e Resource </w:t>
      </w:r>
      <w:proofErr w:type="spellStart"/>
      <w:r>
        <w:t>Owner</w:t>
      </w:r>
      <w:proofErr w:type="spellEnd"/>
      <w:r>
        <w:t xml:space="preserve">, e infine fra l’Operatore </w:t>
      </w:r>
      <w:proofErr w:type="spellStart"/>
      <w:r>
        <w:t>MyData</w:t>
      </w:r>
      <w:proofErr w:type="spellEnd"/>
      <w:r>
        <w:t xml:space="preserve"> e </w:t>
      </w:r>
      <w:proofErr w:type="spellStart"/>
      <w:r>
        <w:t>Autorization</w:t>
      </w:r>
      <w:proofErr w:type="spellEnd"/>
      <w:r>
        <w:t xml:space="preserve"> Server.</w:t>
      </w:r>
    </w:p>
    <w:p w:rsidR="00450D9C" w:rsidRDefault="00450D9C" w:rsidP="00823F17">
      <w:r>
        <w:t>In figura \</w:t>
      </w:r>
      <w:proofErr w:type="spellStart"/>
      <w:r>
        <w:t>ref</w:t>
      </w:r>
      <w:proofErr w:type="spellEnd"/>
      <w:r>
        <w:t xml:space="preserve">{} è mostrato il flusso di autorizzazioni implementato dal protocollo </w:t>
      </w:r>
      <w:proofErr w:type="spellStart"/>
      <w:r>
        <w:t>OAuth</w:t>
      </w:r>
      <w:proofErr w:type="spellEnd"/>
      <w:r>
        <w:t xml:space="preserve"> 2.0, dal quale è stato preso spunto per la definizione di Service </w:t>
      </w:r>
      <w:proofErr w:type="spellStart"/>
      <w:r>
        <w:t>Linking</w:t>
      </w:r>
      <w:proofErr w:type="spellEnd"/>
      <w:r w:rsidR="005D4CC4">
        <w:t xml:space="preserve"> e delle interazioni in </w:t>
      </w:r>
      <w:proofErr w:type="spellStart"/>
      <w:r w:rsidR="005D4CC4">
        <w:t>MyData</w:t>
      </w:r>
      <w:proofErr w:type="spellEnd"/>
      <w:r>
        <w:t>. Le analogie possono essere riassunte all’interno dei seguenti punti:</w:t>
      </w:r>
    </w:p>
    <w:p w:rsidR="00450D9C" w:rsidRDefault="00450D9C" w:rsidP="00823F17">
      <w:r>
        <w:t>\</w:t>
      </w:r>
      <w:proofErr w:type="spellStart"/>
      <w:r>
        <w:t>begin</w:t>
      </w:r>
      <w:proofErr w:type="spellEnd"/>
      <w:r>
        <w:t>{</w:t>
      </w:r>
      <w:proofErr w:type="spellStart"/>
      <w:r>
        <w:t>itemize</w:t>
      </w:r>
      <w:proofErr w:type="spellEnd"/>
      <w:r>
        <w:t>}</w:t>
      </w:r>
    </w:p>
    <w:p w:rsidR="00450D9C" w:rsidRDefault="00450D9C" w:rsidP="00823F17">
      <w:r>
        <w:t xml:space="preserve">\item I punti (A) e (B) corrispondono alla registrazione di un utente presso un servizio; questo stato viene spesso indicato come precondizione per il Service </w:t>
      </w:r>
      <w:proofErr w:type="spellStart"/>
      <w:r>
        <w:t>Linking</w:t>
      </w:r>
      <w:proofErr w:type="spellEnd"/>
      <w:r>
        <w:t xml:space="preserve"> all’inte</w:t>
      </w:r>
      <w:r w:rsidR="005D4CC4">
        <w:t xml:space="preserve">rno della documentazione </w:t>
      </w:r>
      <w:proofErr w:type="spellStart"/>
      <w:r w:rsidR="005D4CC4">
        <w:t>MyData</w:t>
      </w:r>
      <w:proofErr w:type="spellEnd"/>
      <w:r w:rsidR="005D4CC4">
        <w:t>.</w:t>
      </w:r>
    </w:p>
    <w:p w:rsidR="00450D9C" w:rsidRDefault="00450D9C" w:rsidP="00823F17">
      <w:r>
        <w:t xml:space="preserve">\item I punti (C ) e (D) </w:t>
      </w:r>
      <w:r w:rsidR="005D4CC4">
        <w:t xml:space="preserve">riassumono i passi che l’Operatore compie per identificare il servizio, emettere ID surrogati e token </w:t>
      </w:r>
      <w:proofErr w:type="spellStart"/>
      <w:r w:rsidR="005D4CC4">
        <w:t>key</w:t>
      </w:r>
      <w:proofErr w:type="spellEnd"/>
      <w:r w:rsidR="005D4CC4">
        <w:t xml:space="preserve"> e svolgere le operazioni di autenticazione e firma da parte di Account </w:t>
      </w:r>
      <w:proofErr w:type="spellStart"/>
      <w:r w:rsidR="005D4CC4">
        <w:t>Owner</w:t>
      </w:r>
      <w:proofErr w:type="spellEnd"/>
      <w:r w:rsidR="005D4CC4">
        <w:t xml:space="preserve"> e del servizio stesso.</w:t>
      </w:r>
    </w:p>
    <w:p w:rsidR="005D4CC4" w:rsidRDefault="005D4CC4" w:rsidP="00823F17">
      <w:r>
        <w:t xml:space="preserve">\item i punti (E) e (F) descrivono come avviene effettivamente il recupero dei dati una volta ottenuta l’autorizzazione necessaria. In </w:t>
      </w:r>
      <w:proofErr w:type="spellStart"/>
      <w:r>
        <w:t>MyData</w:t>
      </w:r>
      <w:proofErr w:type="spellEnd"/>
      <w:r>
        <w:t xml:space="preserve"> ciò corrisponde alla “connessione dati” che si instaura fra Source e </w:t>
      </w:r>
      <w:proofErr w:type="spellStart"/>
      <w:r>
        <w:t>Sink</w:t>
      </w:r>
      <w:proofErr w:type="spellEnd"/>
      <w:r>
        <w:t>.</w:t>
      </w:r>
    </w:p>
    <w:p w:rsidR="00BE1A82" w:rsidRDefault="00CC241D" w:rsidP="00823F17">
      <w:r>
        <w:t xml:space="preserve">Vista la forte analogia con </w:t>
      </w:r>
      <w:proofErr w:type="spellStart"/>
      <w:r>
        <w:t>MyData</w:t>
      </w:r>
      <w:proofErr w:type="spellEnd"/>
      <w:r>
        <w:t>, i</w:t>
      </w:r>
      <w:r w:rsidR="00BE1A82">
        <w:t xml:space="preserve">n fase di Progettazione ho scelto di prendere spunto dal protocollo </w:t>
      </w:r>
      <w:proofErr w:type="spellStart"/>
      <w:r w:rsidR="00BE1A82">
        <w:t>OAuth</w:t>
      </w:r>
      <w:proofErr w:type="spellEnd"/>
      <w:r w:rsidR="00BE1A82">
        <w:t xml:space="preserve"> al momento di definire un algoritmo per l’autenticazione </w:t>
      </w:r>
      <w:r>
        <w:t xml:space="preserve">e le relazioni fra </w:t>
      </w:r>
      <w:r w:rsidR="00BE1A82">
        <w:t>le parti</w:t>
      </w:r>
      <w:r>
        <w:t>.</w:t>
      </w:r>
    </w:p>
    <w:p w:rsidR="005911FD" w:rsidRPr="00417126" w:rsidRDefault="001A37BA" w:rsidP="000C71B7">
      <w:pPr>
        <w:pStyle w:val="Heading2"/>
        <w:spacing w:after="160" w:line="360" w:lineRule="auto"/>
      </w:pPr>
      <w:r w:rsidRPr="00417126">
        <w:t>3</w:t>
      </w:r>
      <w:r w:rsidR="007B0F34" w:rsidRPr="00417126">
        <w:t xml:space="preserve">.3 Autorizzazioni e </w:t>
      </w:r>
      <w:r w:rsidR="005911FD" w:rsidRPr="00417126">
        <w:t>Consent</w:t>
      </w:r>
      <w:bookmarkEnd w:id="15"/>
    </w:p>
    <w:p w:rsidR="005911FD" w:rsidRPr="00417126" w:rsidRDefault="005911FD" w:rsidP="000C71B7">
      <w:pPr>
        <w:rPr>
          <w:rFonts w:cs="Times New Roman"/>
          <w:szCs w:val="24"/>
        </w:rPr>
      </w:pPr>
      <w:r w:rsidRPr="00417126">
        <w:rPr>
          <w:rFonts w:cs="Times New Roman"/>
          <w:szCs w:val="24"/>
        </w:rPr>
        <w:t>Come specificato dal GDPR, ogni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lastRenderedPageBreak/>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w:t>
      </w:r>
      <w:r w:rsidR="009C21C0">
        <w:rPr>
          <w:rFonts w:cs="Times New Roman"/>
          <w:szCs w:val="24"/>
        </w:rPr>
        <w:t xml:space="preserve"> o meno</w:t>
      </w:r>
      <w:r w:rsidR="00C226F9">
        <w:rPr>
          <w:rFonts w:cs="Times New Roman"/>
          <w:szCs w:val="24"/>
        </w:rPr>
        <w:t xml:space="preserve"> al processamento di un determinato insieme di dati da parte di un servizio specificato. È possibile per l’utente chiedere una ridefinizione delle richieste del servizio</w:t>
      </w:r>
      <w:r w:rsidR="009C21C0">
        <w:rPr>
          <w:rFonts w:cs="Times New Roman"/>
          <w:szCs w:val="24"/>
        </w:rPr>
        <w:t>,</w:t>
      </w:r>
      <w:r w:rsidR="00C226F9">
        <w:rPr>
          <w:rFonts w:cs="Times New Roman"/>
          <w:szCs w:val="24"/>
        </w:rPr>
        <w:t xml:space="preserve"> ma non al di sotto del limite previsto per un corretto svolgimento del servizio stesso.</w:t>
      </w:r>
    </w:p>
    <w:p w:rsidR="00C226F9" w:rsidRPr="00C226F9" w:rsidRDefault="009C21C0" w:rsidP="000C71B7">
      <w:pPr>
        <w:rPr>
          <w:rFonts w:cs="Times New Roman"/>
          <w:szCs w:val="24"/>
        </w:rPr>
      </w:pPr>
      <w:r>
        <w:rPr>
          <w:rFonts w:cs="Times New Roman"/>
          <w:szCs w:val="24"/>
        </w:rPr>
        <w:t>Nel</w:t>
      </w:r>
      <w:r w:rsidR="00C226F9">
        <w:rPr>
          <w:rFonts w:cs="Times New Roman"/>
          <w:szCs w:val="24"/>
        </w:rPr>
        <w:t xml:space="preserve"> caso la procedura di autorizzazione </w:t>
      </w:r>
      <w:r>
        <w:rPr>
          <w:rFonts w:cs="Times New Roman"/>
          <w:szCs w:val="24"/>
        </w:rPr>
        <w:t>si concluda</w:t>
      </w:r>
      <w:r w:rsidR="00C226F9">
        <w:rPr>
          <w:rFonts w:cs="Times New Roman"/>
          <w:szCs w:val="24"/>
        </w:rPr>
        <w:t xml:space="preserve"> con successo, viene prodotto un </w:t>
      </w:r>
      <w:proofErr w:type="spellStart"/>
      <w:r w:rsidR="00C226F9">
        <w:rPr>
          <w:rFonts w:cs="Times New Roman"/>
          <w:i/>
          <w:szCs w:val="24"/>
        </w:rPr>
        <w:t>Consent</w:t>
      </w:r>
      <w:proofErr w:type="spellEnd"/>
      <w:r w:rsidR="00C226F9">
        <w:rPr>
          <w:rFonts w:cs="Times New Roman"/>
          <w:i/>
          <w:szCs w:val="24"/>
        </w:rPr>
        <w:t xml:space="preserve"> Record </w:t>
      </w:r>
      <w:r w:rsidR="00C226F9">
        <w:rPr>
          <w:rFonts w:cs="Times New Roman"/>
          <w:szCs w:val="24"/>
        </w:rPr>
        <w:t>che contiene tutte le specifiche negoziate fra le parti insieme a</w:t>
      </w:r>
      <w:r w:rsidR="00742CB0">
        <w:rPr>
          <w:rFonts w:cs="Times New Roman"/>
          <w:szCs w:val="24"/>
        </w:rPr>
        <w:t xml:space="preserve">gli identificatori dell’utente e del servizio. </w:t>
      </w:r>
      <w:r w:rsidR="00054861">
        <w:rPr>
          <w:rFonts w:cs="Times New Roman"/>
          <w:szCs w:val="24"/>
        </w:rPr>
        <w:t>Esso</w:t>
      </w:r>
      <w:r w:rsidR="00742CB0">
        <w:rPr>
          <w:rFonts w:cs="Times New Roman"/>
          <w:szCs w:val="24"/>
        </w:rPr>
        <w:t xml:space="preserve">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w:t>
      </w:r>
      <w:r w:rsidR="00054861">
        <w:rPr>
          <w:rFonts w:cs="Times New Roman"/>
          <w:szCs w:val="24"/>
        </w:rPr>
        <w:t>all’</w:t>
      </w:r>
      <w:r w:rsidRPr="00417126">
        <w:rPr>
          <w:rFonts w:cs="Times New Roman"/>
          <w:szCs w:val="24"/>
        </w:rPr>
        <w:t xml:space="preserve">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w:t>
      </w:r>
      <w:r w:rsidR="00054861">
        <w:rPr>
          <w:rFonts w:cs="Times New Roman"/>
          <w:szCs w:val="24"/>
        </w:rPr>
        <w:t>di</w:t>
      </w:r>
      <w:r w:rsidRPr="00417126">
        <w:rPr>
          <w:rFonts w:cs="Times New Roman"/>
          <w:szCs w:val="24"/>
        </w:rPr>
        <w:t xml:space="preserve"> funzionamento, in cui l’accesso ai dati è consentito; si hanno poi gli stati “disabilitato” e “ritirato”, in cui l’accesso è impedito. Nel caso in cui il permesso sia</w:t>
      </w:r>
      <w:r w:rsidR="00054861">
        <w:rPr>
          <w:rFonts w:cs="Times New Roman"/>
          <w:szCs w:val="24"/>
        </w:rPr>
        <w:t xml:space="preserve"> stato</w:t>
      </w:r>
      <w:r w:rsidRPr="00417126">
        <w:rPr>
          <w:rFonts w:cs="Times New Roman"/>
          <w:szCs w:val="24"/>
        </w:rPr>
        <w:t xml:space="preserve">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volontariamente 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B701B8" w:rsidRDefault="00824A9B" w:rsidP="00824A9B">
      <w:pPr>
        <w:pStyle w:val="Heading3"/>
        <w:rPr>
          <w:sz w:val="48"/>
        </w:rPr>
      </w:pPr>
      <w:bookmarkStart w:id="16" w:name="_Toc466904543"/>
      <w:r w:rsidRPr="00B701B8">
        <w:t xml:space="preserve">3.3.1 </w:t>
      </w:r>
      <w:proofErr w:type="spellStart"/>
      <w:r w:rsidRPr="00B701B8">
        <w:t>Kantara</w:t>
      </w:r>
      <w:proofErr w:type="spellEnd"/>
      <w:r w:rsidRPr="00B701B8">
        <w:t xml:space="preserve"> </w:t>
      </w:r>
      <w:proofErr w:type="spellStart"/>
      <w:r w:rsidRPr="00B701B8">
        <w:t>Consent</w:t>
      </w:r>
      <w:proofErr w:type="spellEnd"/>
      <w:r w:rsidRPr="00B701B8">
        <w:t xml:space="preserve"> </w:t>
      </w:r>
      <w:bookmarkEnd w:id="16"/>
      <w:proofErr w:type="spellStart"/>
      <w:r w:rsidR="00B701B8" w:rsidRPr="00B701B8">
        <w:t>Notice</w:t>
      </w:r>
      <w:proofErr w:type="spellEnd"/>
      <w:r w:rsidR="00B701B8" w:rsidRPr="00B701B8">
        <w:t xml:space="preserve"> </w:t>
      </w:r>
      <w:proofErr w:type="spellStart"/>
      <w:r w:rsidR="00B701B8" w:rsidRPr="00B701B8">
        <w:t>Receipt</w:t>
      </w:r>
      <w:proofErr w:type="spellEnd"/>
      <w:r w:rsidR="00B701B8" w:rsidRPr="00B701B8">
        <w:t xml:space="preserve"> </w:t>
      </w:r>
      <w:proofErr w:type="spellStart"/>
      <w:r w:rsidR="00B701B8" w:rsidRPr="00B701B8">
        <w:t>Specification</w:t>
      </w:r>
      <w:proofErr w:type="spellEnd"/>
    </w:p>
    <w:p w:rsidR="00B701B8" w:rsidRDefault="00B701B8" w:rsidP="00B701B8">
      <w:bookmarkStart w:id="17" w:name="_Toc466904544"/>
      <w:r w:rsidRPr="00B701B8">
        <w:t xml:space="preserve">All’interno della documentazione di </w:t>
      </w:r>
      <w:proofErr w:type="spellStart"/>
      <w:r w:rsidRPr="00B701B8">
        <w:t>MyData</w:t>
      </w:r>
      <w:proofErr w:type="spellEnd"/>
      <w:r w:rsidRPr="00B701B8">
        <w:t xml:space="preserve"> </w:t>
      </w:r>
      <w:r>
        <w:t>\</w:t>
      </w:r>
      <w:proofErr w:type="spellStart"/>
      <w:r>
        <w:t>cite</w:t>
      </w:r>
      <w:proofErr w:type="spellEnd"/>
      <w:r>
        <w:t xml:space="preserve">{} </w:t>
      </w:r>
      <w:r w:rsidRPr="00B701B8">
        <w:t>vie</w:t>
      </w:r>
      <w:r>
        <w:t xml:space="preserve">ne indicato il documento di specifica </w:t>
      </w:r>
      <w:proofErr w:type="spellStart"/>
      <w:r>
        <w:t>Consent</w:t>
      </w:r>
      <w:proofErr w:type="spellEnd"/>
      <w:r>
        <w:t xml:space="preserve"> </w:t>
      </w:r>
      <w:proofErr w:type="spellStart"/>
      <w:r>
        <w:t>Notice</w:t>
      </w:r>
      <w:proofErr w:type="spellEnd"/>
      <w:r>
        <w:t xml:space="preserve"> </w:t>
      </w:r>
      <w:proofErr w:type="spellStart"/>
      <w:r>
        <w:t>Recipt</w:t>
      </w:r>
      <w:proofErr w:type="spellEnd"/>
      <w:r>
        <w:t xml:space="preserve"> </w:t>
      </w:r>
      <w:proofErr w:type="spellStart"/>
      <w:r>
        <w:t>Specification</w:t>
      </w:r>
      <w:proofErr w:type="spellEnd"/>
      <w:r>
        <w:t xml:space="preserve"> (CNRS) elaborato da </w:t>
      </w:r>
      <w:proofErr w:type="spellStart"/>
      <w:r>
        <w:t>Kantara</w:t>
      </w:r>
      <w:proofErr w:type="spellEnd"/>
      <w:r>
        <w:t xml:space="preserve"> \</w:t>
      </w:r>
      <w:proofErr w:type="spellStart"/>
      <w:r>
        <w:t>cite</w:t>
      </w:r>
      <w:proofErr w:type="spellEnd"/>
      <w:r>
        <w:t xml:space="preserve">{} come esempio di </w:t>
      </w:r>
      <w:proofErr w:type="spellStart"/>
      <w:r>
        <w:t>Consent</w:t>
      </w:r>
      <w:proofErr w:type="spellEnd"/>
      <w:r>
        <w:t xml:space="preserve"> Record.</w:t>
      </w:r>
      <w:r w:rsidR="00841D54">
        <w:t xml:space="preserve"> Il contesto di sviluppo alla base di questo documento è simile </w:t>
      </w:r>
      <w:r w:rsidR="003F4C03">
        <w:t xml:space="preserve">a quello di </w:t>
      </w:r>
      <w:proofErr w:type="spellStart"/>
      <w:r w:rsidR="003F4C03">
        <w:t>MyData</w:t>
      </w:r>
      <w:proofErr w:type="spellEnd"/>
      <w:r w:rsidR="003F4C03">
        <w:t>, descritto nei capitoli \</w:t>
      </w:r>
      <w:proofErr w:type="spellStart"/>
      <w:r w:rsidR="003F4C03">
        <w:t>ref</w:t>
      </w:r>
      <w:proofErr w:type="spellEnd"/>
      <w:r w:rsidR="003F4C03">
        <w:t>{capitolo1} e \</w:t>
      </w:r>
      <w:proofErr w:type="spellStart"/>
      <w:r w:rsidR="003F4C03">
        <w:t>ref</w:t>
      </w:r>
      <w:proofErr w:type="spellEnd"/>
      <w:r w:rsidR="003F4C03">
        <w:t>{capitolo2}</w:t>
      </w:r>
      <w:r w:rsidR="00841D54">
        <w:t>,</w:t>
      </w:r>
      <w:r w:rsidR="003F4C03">
        <w:t xml:space="preserve"> e </w:t>
      </w:r>
      <w:r w:rsidR="003F4C03">
        <w:lastRenderedPageBreak/>
        <w:t>consiste nell’</w:t>
      </w:r>
      <w:r w:rsidR="00841D54">
        <w:t>offrire agli utenti la possibilità di venire a conoscenza dell’uso che viene fatto dei propri dati e di poter intervenire attivamente nella sua gestione.</w:t>
      </w:r>
    </w:p>
    <w:p w:rsidR="00B701B8" w:rsidRDefault="00841D54" w:rsidP="00B701B8">
      <w:r>
        <w:t>Pertanto, l’</w:t>
      </w:r>
      <w:r w:rsidR="00B701B8">
        <w:t>obiettivo del CNRS è quello di definire uno s</w:t>
      </w:r>
      <w:r>
        <w:t>tandard di implementazione per</w:t>
      </w:r>
      <w:r w:rsidR="00B701B8">
        <w:t xml:space="preserve"> record di autorizzazioni e transazioni di dati, al fine </w:t>
      </w:r>
      <w:r>
        <w:t>di supportare l’interoperabilità fra sistemi diversi, offrire una prova credibile di autorizzazione ricevuta e dare il via a “buone pratiche” e consuetudini coerenti con il rispetto della privacy e la tracciabilità delle trasmissioni di dati.</w:t>
      </w:r>
    </w:p>
    <w:p w:rsidR="003F4C03" w:rsidRDefault="003F4C03" w:rsidP="00B701B8">
      <w:r>
        <w:t>All’interno del documento viene dettagliata la terminologia specifica del settore relativo a privacy e autorizzazioni, ad esempio mediante la definizione del termine “</w:t>
      </w:r>
      <w:proofErr w:type="spellStart"/>
      <w:r>
        <w:t>Consent</w:t>
      </w:r>
      <w:proofErr w:type="spellEnd"/>
      <w:r>
        <w:t>”, che riporto di seguito perché particolarmente rilevante all’interno del contesto:</w:t>
      </w:r>
    </w:p>
    <w:p w:rsidR="00235615" w:rsidRDefault="00235615" w:rsidP="00235615">
      <w:pPr>
        <w:rPr>
          <w:lang w:val="en-GB"/>
        </w:rPr>
      </w:pPr>
      <w:r>
        <w:rPr>
          <w:lang w:val="en-GB"/>
        </w:rPr>
        <w:t>\begin {quote}</w:t>
      </w:r>
    </w:p>
    <w:p w:rsidR="003F4C03" w:rsidRDefault="00235615" w:rsidP="00235615">
      <w:pPr>
        <w:rPr>
          <w:lang w:val="en-GB"/>
        </w:rPr>
      </w:pPr>
      <w:r w:rsidRPr="00235615">
        <w:rPr>
          <w:lang w:val="en-GB"/>
        </w:rPr>
        <w:t>A Personally identifiable information (PII) Principal’s freely given, specific and informed agreement to the processing of their PII</w:t>
      </w:r>
      <w:r>
        <w:rPr>
          <w:lang w:val="en-GB"/>
        </w:rPr>
        <w:t>.</w:t>
      </w:r>
    </w:p>
    <w:p w:rsidR="00235615" w:rsidRDefault="00235615" w:rsidP="00235615">
      <w:pPr>
        <w:rPr>
          <w:lang w:val="en-GB"/>
        </w:rPr>
      </w:pPr>
      <w:r>
        <w:rPr>
          <w:lang w:val="en-GB"/>
        </w:rPr>
        <w:t>\end{quote}</w:t>
      </w:r>
    </w:p>
    <w:p w:rsidR="00235615" w:rsidRDefault="00235615" w:rsidP="00235615">
      <w:r w:rsidRPr="00235615">
        <w:t>Altri esempi comprendono la definizione di</w:t>
      </w:r>
      <w:r>
        <w:t xml:space="preserve"> </w:t>
      </w:r>
      <w:proofErr w:type="spellStart"/>
      <w:r>
        <w:t>Personally</w:t>
      </w:r>
      <w:proofErr w:type="spellEnd"/>
      <w:r>
        <w:t xml:space="preserve"> </w:t>
      </w:r>
      <w:proofErr w:type="spellStart"/>
      <w:r>
        <w:t>Identifiable</w:t>
      </w:r>
      <w:proofErr w:type="spellEnd"/>
      <w:r>
        <w:t xml:space="preserve"> Information e </w:t>
      </w:r>
      <w:proofErr w:type="spellStart"/>
      <w:r>
        <w:t>Consent</w:t>
      </w:r>
      <w:proofErr w:type="spellEnd"/>
      <w:r>
        <w:t xml:space="preserve"> </w:t>
      </w:r>
      <w:proofErr w:type="spellStart"/>
      <w:r>
        <w:t>Recipt</w:t>
      </w:r>
      <w:proofErr w:type="spellEnd"/>
      <w:r>
        <w:t>.</w:t>
      </w:r>
    </w:p>
    <w:p w:rsidR="00235615" w:rsidRPr="00235615" w:rsidRDefault="00235615" w:rsidP="00235615">
      <w:r>
        <w:t xml:space="preserve">Successivamente, viene descritta la struttura dati proposta come standard di </w:t>
      </w:r>
      <w:proofErr w:type="spellStart"/>
      <w:r>
        <w:t>Consent</w:t>
      </w:r>
      <w:proofErr w:type="spellEnd"/>
      <w:r>
        <w:t xml:space="preserve"> </w:t>
      </w:r>
      <w:proofErr w:type="spellStart"/>
      <w:r>
        <w:t>Receipt</w:t>
      </w:r>
      <w:proofErr w:type="spellEnd"/>
      <w:r>
        <w:t xml:space="preserve">, dettagliando ogni campo presente al suo interno. Ho preso spunto da questo documento al momento di realizzare i </w:t>
      </w:r>
      <w:proofErr w:type="spellStart"/>
      <w:r>
        <w:t>Consent</w:t>
      </w:r>
      <w:proofErr w:type="spellEnd"/>
      <w:r>
        <w:t xml:space="preserve"> all’interno del gestore di dati personali (sottosezione \</w:t>
      </w:r>
      <w:proofErr w:type="spellStart"/>
      <w:r>
        <w:t>ref</w:t>
      </w:r>
      <w:proofErr w:type="spellEnd"/>
      <w:r>
        <w:t>{}).</w:t>
      </w:r>
    </w:p>
    <w:p w:rsidR="00824A9B" w:rsidRPr="00383011" w:rsidRDefault="00824A9B" w:rsidP="00824A9B">
      <w:pPr>
        <w:pStyle w:val="Heading3"/>
        <w:rPr>
          <w:lang w:val="en-GB"/>
        </w:rPr>
      </w:pPr>
      <w:r w:rsidRPr="00383011">
        <w:rPr>
          <w:lang w:val="en-GB"/>
        </w:rPr>
        <w:t>3.3.2 U</w:t>
      </w:r>
      <w:r w:rsidR="00E30DDC" w:rsidRPr="00383011">
        <w:rPr>
          <w:lang w:val="en-GB"/>
        </w:rPr>
        <w:t>ser Managed Access</w:t>
      </w:r>
      <w:bookmarkEnd w:id="17"/>
    </w:p>
    <w:p w:rsidR="00824A9B" w:rsidRDefault="004C568B" w:rsidP="000C71B7">
      <w:pPr>
        <w:rPr>
          <w:lang w:val="en-GB"/>
        </w:rPr>
      </w:pPr>
      <w:hyperlink r:id="rId6" w:history="1">
        <w:r w:rsidRPr="00296411">
          <w:rPr>
            <w:rStyle w:val="Hyperlink"/>
            <w:lang w:val="en-GB"/>
          </w:rPr>
          <w:t>https://kantarainitiative.org/confluence/display/uma/Home</w:t>
        </w:r>
      </w:hyperlink>
    </w:p>
    <w:p w:rsidR="004C568B" w:rsidRPr="004C568B" w:rsidRDefault="004C568B" w:rsidP="000C71B7">
      <w:pPr>
        <w:rPr>
          <w:lang w:val="en-GB"/>
        </w:rPr>
      </w:pPr>
      <w:r w:rsidRPr="004C568B">
        <w:rPr>
          <w:lang w:val="en-GB"/>
        </w:rPr>
        <w:t xml:space="preserve">User-Managed Access (UMA) is an </w:t>
      </w:r>
      <w:hyperlink r:id="rId7" w:history="1">
        <w:r w:rsidRPr="004C568B">
          <w:rPr>
            <w:rStyle w:val="Hyperlink"/>
            <w:lang w:val="en-GB"/>
          </w:rPr>
          <w:t>award-winning</w:t>
        </w:r>
      </w:hyperlink>
      <w:r w:rsidRPr="004C568B">
        <w:rPr>
          <w:lang w:val="en-GB"/>
        </w:rPr>
        <w:t xml:space="preserve"> OAuth-based protocol designed to give a web user a unified control point for authorizing who and what can get access to their online personal data, content, and services, no matter where all those things live on the web</w:t>
      </w:r>
    </w:p>
    <w:p w:rsidR="00F33D69" w:rsidRPr="00417126" w:rsidRDefault="001A37BA" w:rsidP="000C71B7">
      <w:pPr>
        <w:pStyle w:val="Heading2"/>
        <w:spacing w:after="160" w:line="360" w:lineRule="auto"/>
      </w:pPr>
      <w:bookmarkStart w:id="18" w:name="_Toc466904545"/>
      <w:r w:rsidRPr="00417126">
        <w:lastRenderedPageBreak/>
        <w:t>3</w:t>
      </w:r>
      <w:r w:rsidR="00F33D69" w:rsidRPr="00417126">
        <w:t>.4 Personal Data Storage</w:t>
      </w:r>
      <w:bookmarkEnd w:id="18"/>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054861">
        <w:rPr>
          <w:rFonts w:cs="Times New Roman"/>
          <w:i/>
          <w:szCs w:val="24"/>
        </w:rPr>
        <w:t>MyData</w:t>
      </w:r>
      <w:proofErr w:type="spellEnd"/>
      <w:r w:rsidRPr="00417126">
        <w:rPr>
          <w:rFonts w:cs="Times New Roman"/>
          <w:szCs w:val="24"/>
        </w:rPr>
        <w:t xml:space="preserve">, non è possibile prescindere dall’esistenza di un database che 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sidR="00054861">
        <w:rPr>
          <w:rFonts w:cs="Times New Roman"/>
          <w:szCs w:val="24"/>
        </w:rPr>
        <w:t>, ma</w:t>
      </w:r>
      <w:r>
        <w:rPr>
          <w:rFonts w:cs="Times New Roman"/>
          <w:szCs w:val="24"/>
        </w:rPr>
        <w:t xml:space="preserv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435612" w:rsidRDefault="00435612" w:rsidP="000C71B7">
      <w:pPr>
        <w:rPr>
          <w:rFonts w:cs="Times New Roman"/>
          <w:szCs w:val="24"/>
        </w:rPr>
      </w:pPr>
      <w:r>
        <w:rPr>
          <w:rFonts w:cs="Times New Roman"/>
          <w:szCs w:val="24"/>
        </w:rPr>
        <w:t xml:space="preserve">Poiché l’applicazione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Profile</w:t>
      </w:r>
      <w:proofErr w:type="spellEnd"/>
      <w:r>
        <w:rPr>
          <w:rFonts w:cs="Times New Roman"/>
          <w:szCs w:val="24"/>
        </w:rPr>
        <w:t xml:space="preserve"> è stata sviluppata in un secondo momento rispetto alla prima pubblicazione delle specifiche tecniche suddette, si è provveduto all’interno della relativa documentazione \</w:t>
      </w:r>
      <w:proofErr w:type="spellStart"/>
      <w:r>
        <w:rPr>
          <w:rFonts w:cs="Times New Roman"/>
          <w:szCs w:val="24"/>
        </w:rPr>
        <w:t>cite</w:t>
      </w:r>
      <w:proofErr w:type="spellEnd"/>
      <w:r>
        <w:rPr>
          <w:rFonts w:cs="Times New Roman"/>
          <w:szCs w:val="24"/>
        </w:rPr>
        <w:t>{} ad aggiungere una breve menzione del Personal Data Storage, spiegando il suo ruolo all’interno dell’applicazione.</w:t>
      </w:r>
    </w:p>
    <w:p w:rsidR="00435612" w:rsidRDefault="00435612" w:rsidP="000C71B7">
      <w:pPr>
        <w:rPr>
          <w:rFonts w:cs="Times New Roman"/>
          <w:szCs w:val="24"/>
        </w:rPr>
      </w:pPr>
      <w:r>
        <w:rPr>
          <w:rFonts w:cs="Times New Roman"/>
          <w:szCs w:val="24"/>
        </w:rPr>
        <w:t xml:space="preserve">Dall’analisi del codice disponibile sul repository </w:t>
      </w:r>
      <w:proofErr w:type="spellStart"/>
      <w:r>
        <w:rPr>
          <w:rFonts w:cs="Times New Roman"/>
          <w:szCs w:val="24"/>
        </w:rPr>
        <w:t>github</w:t>
      </w:r>
      <w:proofErr w:type="spellEnd"/>
      <w:r>
        <w:rPr>
          <w:rFonts w:cs="Times New Roman"/>
          <w:szCs w:val="24"/>
        </w:rPr>
        <w:t xml:space="preserve"> \</w:t>
      </w:r>
      <w:proofErr w:type="spellStart"/>
      <w:r>
        <w:rPr>
          <w:rFonts w:cs="Times New Roman"/>
          <w:szCs w:val="24"/>
        </w:rPr>
        <w:t>cite</w:t>
      </w:r>
      <w:proofErr w:type="spellEnd"/>
      <w:r>
        <w:rPr>
          <w:rFonts w:cs="Times New Roman"/>
          <w:szCs w:val="24"/>
        </w:rPr>
        <w:t xml:space="preserve">{} è emerso che i dati personali vengono mantenuti all’interno del dispositivo mobile e gestiti attraverso un database relazionale </w:t>
      </w:r>
      <w:hyperlink r:id="rId8" w:history="1">
        <w:r w:rsidR="00EA39ED" w:rsidRPr="009D0EBD">
          <w:rPr>
            <w:rStyle w:val="Hyperlink"/>
            <w:rFonts w:cs="Times New Roman"/>
            <w:szCs w:val="24"/>
          </w:rPr>
          <w:t>https://github.com/satyan/sugar</w:t>
        </w:r>
      </w:hyperlink>
      <w:r w:rsidR="00EA39ED">
        <w:rPr>
          <w:rFonts w:cs="Times New Roman"/>
          <w:szCs w:val="24"/>
        </w:rPr>
        <w:t xml:space="preserve"> . Questa implementazione differisce leggermente da quella proposta inizialmente, in quanto la computazione del servizio avviene localmente ai dati invece che localmente al servizio. All’interno del progetto del gestore di dati personali ho scelto di restare aderente alle prime specifiche di </w:t>
      </w:r>
      <w:proofErr w:type="spellStart"/>
      <w:r w:rsidR="00EA39ED">
        <w:rPr>
          <w:rFonts w:cs="Times New Roman"/>
          <w:szCs w:val="24"/>
        </w:rPr>
        <w:t>MyData</w:t>
      </w:r>
      <w:proofErr w:type="spellEnd"/>
      <w:r w:rsidR="00EA39ED">
        <w:rPr>
          <w:rFonts w:cs="Times New Roman"/>
          <w:szCs w:val="24"/>
        </w:rPr>
        <w:t xml:space="preserve"> \</w:t>
      </w:r>
      <w:proofErr w:type="spellStart"/>
      <w:r w:rsidR="00EA39ED">
        <w:rPr>
          <w:rFonts w:cs="Times New Roman"/>
          <w:szCs w:val="24"/>
        </w:rPr>
        <w:t>cite</w:t>
      </w:r>
      <w:proofErr w:type="spellEnd"/>
      <w:r w:rsidR="00EA39ED">
        <w:rPr>
          <w:rFonts w:cs="Times New Roman"/>
          <w:szCs w:val="24"/>
        </w:rPr>
        <w:t>{}. Questa problematica viene analizzata più in dettaglio prima in fase di Analisi (sezione ) e successivamente in fase di Progettazione (sottosezione ).</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19" w:name="_Toc466904546"/>
      <w:r w:rsidRPr="00417126">
        <w:lastRenderedPageBreak/>
        <w:t>4</w:t>
      </w:r>
      <w:r w:rsidR="00874264" w:rsidRPr="00417126">
        <w:t xml:space="preserve"> </w:t>
      </w:r>
      <w:r w:rsidR="00631F80" w:rsidRPr="00417126">
        <w:t>Analisi</w:t>
      </w:r>
      <w:r w:rsidR="00670BEE" w:rsidRPr="00417126">
        <w:t xml:space="preserve"> e Design</w:t>
      </w:r>
      <w:bookmarkEnd w:id="19"/>
    </w:p>
    <w:p w:rsidR="00824A9B" w:rsidRDefault="000C71B7" w:rsidP="000C71B7">
      <w:r>
        <w:t xml:space="preserve">Il progetto del gestore di dati personali </w:t>
      </w:r>
      <w:r w:rsidR="00E30DDC">
        <w:t>è cominciato con un’analisi</w:t>
      </w:r>
      <w:r>
        <w:t xml:space="preserve"> delle specifiche </w:t>
      </w:r>
      <w:proofErr w:type="spellStart"/>
      <w:r w:rsidRPr="00054861">
        <w:rPr>
          <w:i/>
        </w:rPr>
        <w:t>MyData</w:t>
      </w:r>
      <w:proofErr w:type="spellEnd"/>
      <w:r>
        <w:t xml:space="preserve"> all’interno di uno studio di fattibilità. </w:t>
      </w:r>
      <w:r w:rsidR="00824A9B">
        <w:t>Le soluzioni adottate sono gener</w:t>
      </w:r>
      <w:r w:rsidR="00054861">
        <w:t>almente di portata “</w:t>
      </w:r>
      <w:proofErr w:type="spellStart"/>
      <w:r w:rsidR="00054861">
        <w:t>enterprise</w:t>
      </w:r>
      <w:proofErr w:type="spellEnd"/>
      <w:r w:rsidR="00054861">
        <w:t>”</w:t>
      </w:r>
      <w:r w:rsidR="00824A9B">
        <w:t xml:space="preserve"> e come tali inadatte ad un progetto di tesi. </w:t>
      </w:r>
      <w:r w:rsidR="00364C63">
        <w:t>Per questo motivo ho cercato di seguire</w:t>
      </w:r>
      <w:r w:rsidR="00054861">
        <w:t>,</w:t>
      </w:r>
      <w:r w:rsidR="00364C63">
        <w:t xml:space="preserve"> durante il progetto</w:t>
      </w:r>
      <w:r w:rsidR="00054861">
        <w:t>,</w:t>
      </w:r>
      <w:r w:rsidR="00364C63">
        <w:t xml:space="preserve"> le stesse linee guida e i principi</w:t>
      </w:r>
      <w:r w:rsidR="00054861">
        <w:t xml:space="preserve"> posti</w:t>
      </w:r>
      <w:r w:rsidR="00364C63">
        <w:t xml:space="preserve"> alla base di </w:t>
      </w:r>
      <w:proofErr w:type="spellStart"/>
      <w:r w:rsidR="00364C63" w:rsidRPr="00054861">
        <w:rPr>
          <w:i/>
        </w:rPr>
        <w:t>MyData</w:t>
      </w:r>
      <w:proofErr w:type="spellEnd"/>
      <w:r w:rsidR="00364C63">
        <w:t xml:space="preserve"> preferendo</w:t>
      </w:r>
      <w:r w:rsidR="00054861">
        <w:t>,</w:t>
      </w:r>
      <w:r w:rsidR="00364C63">
        <w:t xml:space="preserve"> quando possibile</w:t>
      </w:r>
      <w:r w:rsidR="00054861">
        <w:t>,</w:t>
      </w:r>
      <w:r w:rsidR="00364C63">
        <w:t xml:space="preserv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054861">
        <w:rPr>
          <w:rFonts w:cs="Times New Roman"/>
          <w:szCs w:val="24"/>
        </w:rPr>
        <w:t>si rende</w:t>
      </w:r>
      <w:r w:rsidR="00937916">
        <w:rPr>
          <w:rFonts w:cs="Times New Roman"/>
          <w:szCs w:val="24"/>
        </w:rPr>
        <w:t xml:space="preserve"> necessaria </w:t>
      </w:r>
      <w:r>
        <w:rPr>
          <w:rFonts w:cs="Times New Roman"/>
          <w:szCs w:val="24"/>
        </w:rPr>
        <w:t>la presenza dei componenti di alto livello per la realizzazione del gestore di dati personali. Questi sono:</w:t>
      </w:r>
    </w:p>
    <w:p w:rsidR="005A6E41" w:rsidRPr="00F63429" w:rsidRDefault="00054861" w:rsidP="00F63429">
      <w:pPr>
        <w:pStyle w:val="ListParagraph"/>
        <w:numPr>
          <w:ilvl w:val="0"/>
          <w:numId w:val="2"/>
        </w:numPr>
        <w:rPr>
          <w:rFonts w:cs="Times New Roman"/>
          <w:szCs w:val="24"/>
        </w:rPr>
      </w:pPr>
      <w:r>
        <w:rPr>
          <w:rFonts w:cs="Times New Roman"/>
          <w:szCs w:val="24"/>
        </w:rPr>
        <w:t>Un utente finale</w:t>
      </w:r>
      <w:r w:rsidR="005A6E41" w:rsidRPr="00F63429">
        <w:rPr>
          <w:rFonts w:cs="Times New Roman"/>
          <w:szCs w:val="24"/>
        </w:rPr>
        <w:t xml:space="preserve"> che disponga di un account presso l’Operatore </w:t>
      </w:r>
      <w:proofErr w:type="spellStart"/>
      <w:r w:rsidR="005A6E41" w:rsidRPr="00054861">
        <w:rPr>
          <w:rFonts w:cs="Times New Roman"/>
          <w:i/>
          <w:szCs w:val="24"/>
        </w:rPr>
        <w:t>MyData</w:t>
      </w:r>
      <w:proofErr w:type="spellEnd"/>
      <w:r w:rsidR="005A6E41"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054861">
        <w:rPr>
          <w:rFonts w:cs="Times New Roman"/>
          <w:i/>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0" w:name="_Toc466904547"/>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0"/>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diversi </w:t>
      </w:r>
      <w:r w:rsidR="00054861">
        <w:rPr>
          <w:rFonts w:cs="Times New Roman"/>
          <w:szCs w:val="24"/>
        </w:rPr>
        <w:t xml:space="preserve">tipi </w:t>
      </w:r>
      <w:r w:rsidR="00411B9E">
        <w:rPr>
          <w:rFonts w:cs="Times New Roman"/>
          <w:szCs w:val="24"/>
        </w:rPr>
        <w:t>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sidRPr="00054861">
        <w:rPr>
          <w:rFonts w:cs="Times New Roman"/>
          <w:i/>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xml:space="preserve">, e </w:t>
      </w:r>
      <w:r w:rsidR="00054861">
        <w:rPr>
          <w:rFonts w:cs="Times New Roman"/>
          <w:szCs w:val="24"/>
        </w:rPr>
        <w:t>costituisce</w:t>
      </w:r>
      <w:r w:rsidRPr="004F0568">
        <w:rPr>
          <w:rFonts w:cs="Times New Roman"/>
          <w:szCs w:val="24"/>
        </w:rPr>
        <w:t xml:space="preserve">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w:t>
      </w:r>
      <w:r w:rsidR="00054861">
        <w:rPr>
          <w:rFonts w:cs="Times New Roman"/>
          <w:szCs w:val="24"/>
        </w:rPr>
        <w:t>N</w:t>
      </w:r>
      <w:r>
        <w:rPr>
          <w:rFonts w:cs="Times New Roman"/>
          <w:szCs w:val="24"/>
        </w:rPr>
        <w:t>el caso considerato,</w:t>
      </w:r>
      <w:r w:rsidR="00054861">
        <w:rPr>
          <w:rFonts w:cs="Times New Roman"/>
          <w:szCs w:val="24"/>
        </w:rPr>
        <w:t xml:space="preserve"> ad esempio,</w:t>
      </w:r>
      <w:r>
        <w:rPr>
          <w:rFonts w:cs="Times New Roman"/>
          <w:szCs w:val="24"/>
        </w:rPr>
        <w:t xml:space="preserve">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sidRPr="00054861">
        <w:rPr>
          <w:rFonts w:cs="Times New Roman"/>
          <w:i/>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cui si è registrato. Inoltre, vi</w:t>
      </w:r>
      <w:r w:rsidR="00054861">
        <w:rPr>
          <w:rFonts w:cs="Times New Roman"/>
          <w:szCs w:val="24"/>
        </w:rPr>
        <w:t>ene</w:t>
      </w:r>
      <w:r>
        <w:rPr>
          <w:rFonts w:cs="Times New Roman"/>
          <w:szCs w:val="24"/>
        </w:rPr>
        <w:t xml:space="preserve"> </w:t>
      </w:r>
      <w:r w:rsidR="00054861">
        <w:rPr>
          <w:rFonts w:cs="Times New Roman"/>
          <w:szCs w:val="24"/>
        </w:rPr>
        <w:t>mantenuto l’elenco</w:t>
      </w:r>
      <w:r w:rsidR="004F0568" w:rsidRPr="004169FE">
        <w:rPr>
          <w:rFonts w:cs="Times New Roman"/>
          <w:szCs w:val="24"/>
        </w:rPr>
        <w:t xml:space="preserve"> di tutti i permessi che l’utente ha </w:t>
      </w:r>
      <w:r w:rsidR="00251910">
        <w:rPr>
          <w:rFonts w:cs="Times New Roman"/>
          <w:szCs w:val="24"/>
        </w:rPr>
        <w:t>generato</w:t>
      </w:r>
      <w:r>
        <w:rPr>
          <w:rFonts w:cs="Times New Roman"/>
          <w:szCs w:val="24"/>
        </w:rPr>
        <w:t xml:space="preserve">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251910">
        <w:rPr>
          <w:rFonts w:cs="Times New Roman"/>
          <w:szCs w:val="24"/>
        </w:rPr>
        <w:t xml:space="preserve"> nel suo lavoro di</w:t>
      </w:r>
      <w:r w:rsidR="00D80CE2">
        <w:rPr>
          <w:rFonts w:cs="Times New Roman"/>
          <w:szCs w:val="24"/>
        </w:rPr>
        <w:t xml:space="preserve">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w:t>
      </w:r>
      <w:r w:rsidR="004A79BD">
        <w:rPr>
          <w:rFonts w:cs="Times New Roman"/>
          <w:szCs w:val="24"/>
        </w:rPr>
        <w:t>All’interno di questo progetto</w:t>
      </w:r>
      <w:r w:rsidR="008C5124">
        <w:rPr>
          <w:rFonts w:cs="Times New Roman"/>
          <w:szCs w:val="24"/>
        </w:rPr>
        <w:t xml:space="preserve">, si </w:t>
      </w:r>
      <w:r w:rsidR="004A79BD">
        <w:rPr>
          <w:rFonts w:cs="Times New Roman"/>
          <w:szCs w:val="24"/>
        </w:rPr>
        <w:t>svilupperà</w:t>
      </w:r>
      <w:r w:rsidR="008C5124">
        <w:rPr>
          <w:rFonts w:cs="Times New Roman"/>
          <w:szCs w:val="24"/>
        </w:rPr>
        <w:t xml:space="preserve"> un esempio di come </w:t>
      </w:r>
      <w:r w:rsidR="004A79BD">
        <w:rPr>
          <w:rFonts w:cs="Times New Roman"/>
          <w:szCs w:val="24"/>
        </w:rPr>
        <w:t>sia</w:t>
      </w:r>
      <w:r w:rsidR="008C5124">
        <w:rPr>
          <w:rFonts w:cs="Times New Roman"/>
          <w:szCs w:val="24"/>
        </w:rPr>
        <w:t xml:space="preserve"> possibile far interagire le due entità, regolando lo scambio di dati in modo quanto più possibile aderente al modello </w:t>
      </w:r>
      <w:proofErr w:type="spellStart"/>
      <w:r w:rsidR="008C5124" w:rsidRPr="00054861">
        <w:rPr>
          <w:rFonts w:cs="Times New Roman"/>
          <w:i/>
          <w:szCs w:val="24"/>
        </w:rPr>
        <w:t>MyData</w:t>
      </w:r>
      <w:proofErr w:type="spellEnd"/>
      <w:r w:rsidR="008C5124">
        <w:rPr>
          <w:rFonts w:cs="Times New Roman"/>
          <w:szCs w:val="24"/>
        </w:rPr>
        <w:t>.</w:t>
      </w:r>
    </w:p>
    <w:p w:rsidR="008C5124" w:rsidRDefault="003F0362" w:rsidP="000C71B7">
      <w:pPr>
        <w:pStyle w:val="Heading2"/>
      </w:pPr>
      <w:bookmarkStart w:id="21" w:name="_Toc466904548"/>
      <w:r>
        <w:t>4.2 Operatore MyData</w:t>
      </w:r>
      <w:bookmarkEnd w:id="21"/>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251910">
        <w:rPr>
          <w:rFonts w:cs="Times New Roman"/>
          <w:i/>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w:t>
      </w:r>
      <w:r w:rsidR="004A79BD">
        <w:rPr>
          <w:rFonts w:cs="Times New Roman"/>
          <w:szCs w:val="24"/>
        </w:rPr>
        <w:t>reciproca</w:t>
      </w:r>
      <w:r w:rsidR="00DB3B6A">
        <w:rPr>
          <w:rFonts w:cs="Times New Roman"/>
          <w:szCs w:val="24"/>
        </w:rPr>
        <w:t xml:space="preserve">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 xml:space="preserve">In questo </w:t>
      </w:r>
      <w:r w:rsidR="004A79BD">
        <w:rPr>
          <w:rFonts w:cs="Times New Roman"/>
          <w:szCs w:val="24"/>
        </w:rPr>
        <w:t>lavoro</w:t>
      </w:r>
      <w:r w:rsidR="0013523F">
        <w:rPr>
          <w:rFonts w:cs="Times New Roman"/>
          <w:szCs w:val="24"/>
        </w:rPr>
        <w:t xml:space="preserve">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2" w:name="_Toc466904549"/>
      <w:r>
        <w:t>4.3 Service Registry</w:t>
      </w:r>
      <w:r w:rsidR="00C5139A">
        <w:t>, Service Linking</w:t>
      </w:r>
      <w:bookmarkEnd w:id="22"/>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9" w:history="1">
        <w:r w:rsidRPr="003658A5">
          <w:rPr>
            <w:rFonts w:cs="Times New Roman"/>
            <w:szCs w:val="24"/>
          </w:rPr>
          <w:t>https://github.com/digitalhealthrevolution/serviceregistry</w:t>
        </w:r>
      </w:hyperlink>
      <w:r w:rsidRPr="003658A5">
        <w:rPr>
          <w:rFonts w:cs="Times New Roman"/>
          <w:szCs w:val="24"/>
        </w:rPr>
        <w:t xml:space="preserve"> ) [ to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3" w:name="_Toc466904550"/>
      <w:bookmarkStart w:id="24" w:name="_Ref466909001"/>
      <w:r>
        <w:t>4.4 Consent</w:t>
      </w:r>
      <w:bookmarkEnd w:id="23"/>
      <w:bookmarkEnd w:id="24"/>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rsidRPr="004A79BD">
        <w:rPr>
          <w:i/>
        </w:rP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w:t>
      </w:r>
      <w:r w:rsidR="00F3671C">
        <w:t>dati</w:t>
      </w:r>
      <w:r w:rsidR="001207A7">
        <w:t xml:space="preserve"> scambiati durante la </w:t>
      </w:r>
      <w:r>
        <w:t>transazione</w:t>
      </w:r>
      <w:r w:rsidR="00F3671C">
        <w:t xml:space="preserve"> (il Resource Set </w:t>
      </w:r>
      <w:proofErr w:type="spellStart"/>
      <w:r w:rsidR="00F3671C">
        <w:t>Identifier</w:t>
      </w:r>
      <w:proofErr w:type="spellEnd"/>
      <w:r w:rsidR="00F3671C">
        <w:t xml:space="preserve"> delle specifiche di </w:t>
      </w:r>
      <w:proofErr w:type="spellStart"/>
      <w:r w:rsidR="00F3671C">
        <w:t>MyData</w:t>
      </w:r>
      <w:proofErr w:type="spellEnd"/>
      <w:r w:rsidR="00F3671C">
        <w:t>); i</w:t>
      </w:r>
      <w:r>
        <w:t xml:space="preserve">noltre, </w:t>
      </w:r>
      <w:r w:rsidR="001207A7">
        <w:t>può e</w:t>
      </w:r>
      <w:r w:rsidR="004A79BD">
        <w:t>ssere utilizzato una volta sola</w:t>
      </w:r>
      <w:r w:rsidR="001207A7">
        <w:t xml:space="preserve"> ed è possibile ottenerlo solo se il permesso che lega l’utente ed il servizio corrente ha stato attivo.</w:t>
      </w:r>
    </w:p>
    <w:p w:rsidR="001207A7"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0807A8" w:rsidRDefault="000807A8" w:rsidP="000807A8">
      <w:pPr>
        <w:pStyle w:val="Heading3"/>
      </w:pPr>
      <w:r>
        <w:t xml:space="preserve">Granularità di un </w:t>
      </w:r>
      <w:proofErr w:type="spellStart"/>
      <w:r>
        <w:t>Consent</w:t>
      </w:r>
      <w:proofErr w:type="spellEnd"/>
    </w:p>
    <w:p w:rsidR="000807A8" w:rsidRDefault="002629AF" w:rsidP="000807A8">
      <w:r>
        <w:t xml:space="preserve">Un aspetto importante da considerare in Analisi è la granularità con cui i </w:t>
      </w:r>
      <w:proofErr w:type="spellStart"/>
      <w:r>
        <w:t>Consent</w:t>
      </w:r>
      <w:proofErr w:type="spellEnd"/>
      <w:r>
        <w:t xml:space="preserve"> permettono l’accesso ai dati. </w:t>
      </w:r>
    </w:p>
    <w:p w:rsidR="002629AF" w:rsidRDefault="002629AF" w:rsidP="000807A8">
      <w:r>
        <w:lastRenderedPageBreak/>
        <w:t xml:space="preserve">All’interno delle specifiche di </w:t>
      </w:r>
      <w:proofErr w:type="spellStart"/>
      <w:r>
        <w:t>MyData</w:t>
      </w:r>
      <w:proofErr w:type="spellEnd"/>
      <w:r>
        <w:t xml:space="preserve"> non si trovano linee guida precise riguardo questo aspetto, mentre vengono espresse delle considerazioni riguardo la frequenza di accesso ai dati e la quantità di dati prelevati. L’interesse in questo senso è motivato dalla volontà di proteggere la privacy dell’utente, che pot</w:t>
      </w:r>
      <w:r w:rsidR="00504333">
        <w:t>r</w:t>
      </w:r>
      <w:r>
        <w:t>ebbe essere messa a rischio nel caso un servizio effettuasse un gran numero di richieste legittime per ottenere dati personali sempre diversi. All’interno dello sviluppo del gestore di dati personali si è scelto di privilegiare l’aspetto del controllo degli accessi, piuttosto che rispondere a quanto puntualizzato</w:t>
      </w:r>
      <w:r w:rsidR="00504333">
        <w:t xml:space="preserve"> in altre implementazioni \</w:t>
      </w:r>
      <w:proofErr w:type="spellStart"/>
      <w:r w:rsidR="00504333">
        <w:t>cite</w:t>
      </w:r>
      <w:proofErr w:type="spellEnd"/>
      <w:r w:rsidR="00504333">
        <w:t xml:space="preserve"> </w:t>
      </w:r>
      <w:proofErr w:type="spellStart"/>
      <w:r w:rsidR="00504333">
        <w:t>mobility</w:t>
      </w:r>
      <w:proofErr w:type="spellEnd"/>
      <w:r w:rsidR="00504333">
        <w:t xml:space="preserve"> </w:t>
      </w:r>
      <w:proofErr w:type="spellStart"/>
      <w:r w:rsidR="00504333">
        <w:t>profile</w:t>
      </w:r>
      <w:proofErr w:type="spellEnd"/>
      <w:r w:rsidR="00504333">
        <w:t>.</w:t>
      </w:r>
    </w:p>
    <w:p w:rsidR="008856FC" w:rsidRDefault="00504333" w:rsidP="000807A8">
      <w:r>
        <w:t>In una prima ipotesi, ho preso in considerazione la possibilità di garantire l’accesso ai dati in base a criteri che comprendono la loro tipologia, la quantità di dati richiesta e la loro “età”</w:t>
      </w:r>
      <w:r w:rsidR="008856FC">
        <w:t>. L’implementazione di questa scelta avrebbe previsto, a grandi linee, l’utilizzo di un database per la gestione di dati con un gran numero di proprietà (come ad esempio la data di acquisizione sopra citata). Poiché tale soluzione avrebbe richiesto notevole impegno ed avrebbe sconfinato all’esterno dell’ambito della tesi, questa possibilità è stata scartata.</w:t>
      </w:r>
    </w:p>
    <w:p w:rsidR="008856FC" w:rsidRPr="000807A8" w:rsidRDefault="008856FC" w:rsidP="000807A8">
      <w:r>
        <w:t>Co</w:t>
      </w:r>
      <w:r w:rsidR="00F3671C">
        <w:t xml:space="preserve">me seconda opzione, sulla scia del </w:t>
      </w:r>
      <w:proofErr w:type="spellStart"/>
      <w:r w:rsidR="00F3671C">
        <w:t>Mobility</w:t>
      </w:r>
      <w:proofErr w:type="spellEnd"/>
      <w:r w:rsidR="00F3671C">
        <w:t xml:space="preserve"> </w:t>
      </w:r>
      <w:proofErr w:type="spellStart"/>
      <w:r w:rsidR="00F3671C">
        <w:t>Profile</w:t>
      </w:r>
      <w:proofErr w:type="spellEnd"/>
      <w:r w:rsidR="00F3671C">
        <w:t xml:space="preserve"> e della gestione delle autorizzazioni in Android, si è optato per il seguente compromesso: la granularità per il controllo degli accessi viene imposta a livello di tipi di dato di alto livello, come ad esempio Calendario, storico delle posizioni GPS, ecc. Per questo motivo, si è scelto di sostituire al generico identificatore di un set di risorse sopra menzionato un insieme di specifici tipi di dato</w:t>
      </w:r>
      <w:r w:rsidR="000A0BA4">
        <w:t>, al fine di poter implementare un adeguato controllo degli accessi.</w:t>
      </w:r>
    </w:p>
    <w:p w:rsidR="004169FE" w:rsidRDefault="001812C3" w:rsidP="007F52C5">
      <w:pPr>
        <w:pStyle w:val="Heading2"/>
      </w:pPr>
      <w:bookmarkStart w:id="25" w:name="_Toc466904551"/>
      <w:r>
        <w:t>4.5</w:t>
      </w:r>
      <w:r w:rsidR="007F52C5">
        <w:t xml:space="preserve"> Personal Data Storage</w:t>
      </w:r>
      <w:bookmarkEnd w:id="25"/>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w:t>
      </w:r>
      <w:r w:rsidR="00EE7513">
        <w:t>evento</w:t>
      </w:r>
      <w:r w:rsidR="001F2095">
        <w:t xml:space="preserve">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 xml:space="preserve">’utilizzo di un particolare tipo di calendario, impedendo successive modifiche o </w:t>
      </w:r>
      <w:r w:rsidR="001F2095">
        <w:lastRenderedPageBreak/>
        <w:t>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10"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6" w:name="_Toc466904552"/>
      <w:r>
        <w:t>4.6 Rappresentazione di dati non noti a priori</w:t>
      </w:r>
      <w:bookmarkEnd w:id="26"/>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al momento dell’iscrizione del servizio presso </w:t>
      </w:r>
      <w:proofErr w:type="spellStart"/>
      <w:r w:rsidRPr="00EE7513">
        <w:rPr>
          <w:rFonts w:cs="Times New Roman"/>
          <w:i/>
          <w:szCs w:val="24"/>
        </w:rPr>
        <w:t>MyData</w:t>
      </w:r>
      <w:proofErr w:type="spellEnd"/>
      <w:r w:rsidR="00EE7513">
        <w:rPr>
          <w:rFonts w:cs="Times New Roman"/>
          <w:szCs w:val="24"/>
        </w:rPr>
        <w:t xml:space="preserve"> e</w:t>
      </w:r>
      <w:r>
        <w:rPr>
          <w:rFonts w:cs="Times New Roman"/>
          <w:szCs w:val="24"/>
        </w:rPr>
        <w:t xml:space="preserve"> il Personal Data Storage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sidRPr="00EE7513">
        <w:rPr>
          <w:rFonts w:cs="Times New Roman"/>
          <w:i/>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11"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sidRPr="00EE7513">
        <w:rPr>
          <w:rFonts w:cs="Times New Roman"/>
          <w:i/>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lastRenderedPageBreak/>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w:t>
      </w:r>
      <w:r w:rsidR="00EE7513">
        <w:rPr>
          <w:rFonts w:cs="Times New Roman"/>
        </w:rPr>
        <w:t>considerato</w:t>
      </w:r>
      <w:r>
        <w:rPr>
          <w:rFonts w:cs="Times New Roman"/>
        </w:rPr>
        <w:t xml:space="preserv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27" w:name="_Toc466904553"/>
      <w:r>
        <w:lastRenderedPageBreak/>
        <w:t>5 Progettazione</w:t>
      </w:r>
      <w:bookmarkEnd w:id="27"/>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383011">
      <w:pPr>
        <w:pStyle w:val="Heading2"/>
      </w:pPr>
      <w:bookmarkStart w:id="28" w:name="_Toc466904554"/>
      <w:r>
        <w:t>5.1 Flusso del programma</w:t>
      </w:r>
      <w:bookmarkEnd w:id="28"/>
    </w:p>
    <w:p w:rsidR="00383011" w:rsidRPr="00383011" w:rsidRDefault="001A5A64" w:rsidP="00383011">
      <w:r>
        <w:t>//inserire grafico in latex</w:t>
      </w:r>
    </w:p>
    <w:p w:rsidR="00C23B18" w:rsidRDefault="00383011" w:rsidP="00BA2D16">
      <w:pPr>
        <w:pStyle w:val="Heading2"/>
      </w:pPr>
      <w:bookmarkStart w:id="29" w:name="_Toc466904555"/>
      <w:r>
        <w:t>5.2 Accounting</w:t>
      </w:r>
      <w:bookmarkEnd w:id="29"/>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r w:rsidR="009509B6">
        <w:fldChar w:fldCharType="begin"/>
      </w:r>
      <w:r w:rsidR="009509B6">
        <w:instrText xml:space="preserve"> SEQ Figura \* ARABIC </w:instrText>
      </w:r>
      <w:r w:rsidR="009509B6">
        <w:fldChar w:fldCharType="separate"/>
      </w:r>
      <w:r w:rsidR="00A30E21">
        <w:rPr>
          <w:noProof/>
        </w:rPr>
        <w:t>1</w:t>
      </w:r>
      <w:r w:rsidR="009509B6">
        <w:rPr>
          <w:noProof/>
        </w:rPr>
        <w:fldChar w:fldCharType="end"/>
      </w:r>
    </w:p>
    <w:p w:rsidR="00C23B18" w:rsidRDefault="00C23B18" w:rsidP="00BA2D16">
      <w:r>
        <w:t xml:space="preserve">Al centro è collocata la classe corrispondente all’utente </w:t>
      </w:r>
      <w:proofErr w:type="spellStart"/>
      <w:r>
        <w:t>MyData</w:t>
      </w:r>
      <w:proofErr w:type="spellEnd"/>
      <w:r>
        <w:t>, che, confermando quanto detto in Analisi, è colleg</w:t>
      </w:r>
      <w:r w:rsidR="00CD4D88">
        <w:t>ata agli account dei servizi, e</w:t>
      </w:r>
      <w:r>
        <w:t xml:space="preserve">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per soddisfare i requisiti di sicurezza relativi alla mutua autenticazione fra utente e servizio. Si è deciso di sviluppare separatamente questa classe per un principio di </w:t>
      </w:r>
      <w:r>
        <w:lastRenderedPageBreak/>
        <w:t>separazione delle responsabilità, e per permettere una più semplice estendibilità in caso di sviluppi futuri.</w:t>
      </w:r>
    </w:p>
    <w:p w:rsidR="00C23B18" w:rsidRDefault="00C23B18" w:rsidP="00C23B18">
      <w:pPr>
        <w:pStyle w:val="Heading3"/>
      </w:pPr>
      <w:bookmarkStart w:id="30" w:name="_Toc466904556"/>
      <w:r>
        <w:t xml:space="preserve">5.2.1 </w:t>
      </w:r>
      <w:proofErr w:type="spellStart"/>
      <w:r>
        <w:t>IUser</w:t>
      </w:r>
      <w:proofErr w:type="spellEnd"/>
      <w:r>
        <w:t xml:space="preserve">, </w:t>
      </w:r>
      <w:proofErr w:type="spellStart"/>
      <w:r>
        <w:t>MyDataUser</w:t>
      </w:r>
      <w:bookmarkEnd w:id="30"/>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sidR="00A30E21">
        <w:rPr>
          <w:noProof/>
        </w:rPr>
        <w:t>2</w:t>
      </w:r>
      <w:r w:rsidR="009509B6">
        <w:rPr>
          <w:noProof/>
        </w:rPr>
        <w:fldChar w:fldCharType="end"/>
      </w:r>
    </w:p>
    <w:p w:rsidR="00CD4D88" w:rsidRDefault="00CD4D88" w:rsidP="00CD4D88">
      <w:r>
        <w:t xml:space="preserve">Questa classe modella un generico utente dell’architettura </w:t>
      </w:r>
      <w:proofErr w:type="spellStart"/>
      <w:r>
        <w:t>MyData</w:t>
      </w:r>
      <w:proofErr w:type="spellEnd"/>
      <w:r>
        <w:t xml:space="preserve">. I </w:t>
      </w:r>
      <w:proofErr w:type="spellStart"/>
      <w:r>
        <w:t>field</w:t>
      </w:r>
      <w:proofErr w:type="spellEnd"/>
      <w:r>
        <w:t xml:space="preserve"> al suo interno sono un esempio delle caratteristiche che si è scelto di modellare, e fra di essi i più rilevanti sono indirizzo email e password, in quanto permettono il login per utenti già registrati. L’indirizzo mail è stato adottato inoltre come identificatore unico di un utente all’interno di </w:t>
      </w:r>
      <w:proofErr w:type="spellStart"/>
      <w:r>
        <w:t>MyData</w:t>
      </w:r>
      <w:proofErr w:type="spellEnd"/>
      <w:r w:rsidR="00832E0D">
        <w:t>, e questa caratteristica è stata implementata mediante l’</w:t>
      </w:r>
      <w:proofErr w:type="spellStart"/>
      <w:r w:rsidR="00832E0D">
        <w:t>override</w:t>
      </w:r>
      <w:proofErr w:type="spellEnd"/>
      <w:r w:rsidR="00832E0D">
        <w:t xml:space="preserve"> della funzione </w:t>
      </w:r>
      <w:proofErr w:type="spellStart"/>
      <w:r w:rsidR="00832E0D" w:rsidRPr="00832E0D">
        <w:rPr>
          <w:rFonts w:ascii="Courier New" w:hAnsi="Courier New" w:cs="Courier New"/>
        </w:rPr>
        <w:t>equals</w:t>
      </w:r>
      <w:proofErr w:type="spellEnd"/>
      <w:r w:rsidR="00832E0D" w:rsidRPr="00832E0D">
        <w:rPr>
          <w:rFonts w:ascii="Courier New" w:hAnsi="Courier New" w:cs="Courier New"/>
        </w:rPr>
        <w:t xml:space="preserve">(Object </w:t>
      </w:r>
      <w:proofErr w:type="spellStart"/>
      <w:r w:rsidR="00832E0D" w:rsidRPr="00832E0D">
        <w:rPr>
          <w:rFonts w:ascii="Courier New" w:hAnsi="Courier New" w:cs="Courier New"/>
        </w:rPr>
        <w:t>obj</w:t>
      </w:r>
      <w:proofErr w:type="spellEnd"/>
      <w:r w:rsidR="00832E0D" w:rsidRPr="00832E0D">
        <w:rPr>
          <w:rFonts w:ascii="Courier New" w:hAnsi="Courier New" w:cs="Courier New"/>
        </w:rPr>
        <w:t>)</w:t>
      </w:r>
      <w:r>
        <w:t>.</w:t>
      </w:r>
    </w:p>
    <w:p w:rsidR="00CD4D88" w:rsidRDefault="00CD4D88" w:rsidP="00CD4D88">
      <w:pPr>
        <w:rPr>
          <w:rFonts w:cs="Times New Roman"/>
        </w:rPr>
      </w:pPr>
      <w:r>
        <w:t xml:space="preserve">Si evidenzia inoltre la presenza di un </w:t>
      </w:r>
      <w:r>
        <w:rPr>
          <w:rFonts w:ascii="Courier New" w:hAnsi="Courier New" w:cs="Courier New"/>
        </w:rPr>
        <w:t>Set&lt;</w:t>
      </w:r>
      <w:proofErr w:type="spellStart"/>
      <w:r>
        <w:rPr>
          <w:rFonts w:ascii="Courier New" w:hAnsi="Courier New" w:cs="Courier New"/>
        </w:rPr>
        <w:t>IAccount</w:t>
      </w:r>
      <w:proofErr w:type="spellEnd"/>
      <w:r>
        <w:rPr>
          <w:rFonts w:ascii="Courier New" w:hAnsi="Courier New" w:cs="Courier New"/>
        </w:rPr>
        <w:t>&gt; accounts</w:t>
      </w:r>
      <w:r>
        <w:rPr>
          <w:rFonts w:cs="Times New Roman"/>
        </w:rPr>
        <w:t>, che realizza l’associazione fra un utente e gli account presso i servizi a cui si è registrato. La scelta di un Set permette di implementare il vincolo secondo cui ogni utente può avere un solo accoun</w:t>
      </w:r>
      <w:r w:rsidR="00362547">
        <w:rPr>
          <w:rFonts w:cs="Times New Roman"/>
        </w:rPr>
        <w:t>t presso un certo servizio, ed è adatta anche in quanto non è necessario mantenere un insieme ordinato di account.</w:t>
      </w:r>
    </w:p>
    <w:p w:rsidR="00832E0D" w:rsidRPr="00832E0D" w:rsidRDefault="00362547" w:rsidP="00CD4D88">
      <w:pPr>
        <w:rPr>
          <w:rFonts w:cs="Times New Roman"/>
        </w:rPr>
      </w:pPr>
      <w:r>
        <w:rPr>
          <w:rFonts w:cs="Times New Roman"/>
        </w:rPr>
        <w:t xml:space="preserve">Questa classe ha inoltre la funzione di interfacciare gli altri componenti del gestore, compresa la GUI, con gli account utente. A tal fine, presenta i metodi </w:t>
      </w:r>
      <w:proofErr w:type="spellStart"/>
      <w:r>
        <w:rPr>
          <w:rFonts w:ascii="Courier New" w:hAnsi="Courier New" w:cs="Courier New"/>
        </w:rPr>
        <w:t>addServiceConsent</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Pr>
          <w:rFonts w:cs="Times New Roman"/>
        </w:rPr>
        <w:t xml:space="preserve">, </w:t>
      </w:r>
      <w:proofErr w:type="spellStart"/>
      <w:r>
        <w:rPr>
          <w:rFonts w:ascii="Courier New" w:hAnsi="Courier New" w:cs="Courier New"/>
        </w:rPr>
        <w:t>addDataConsent</w:t>
      </w:r>
      <w:proofErr w:type="spellEnd"/>
      <w:r>
        <w:rPr>
          <w:rFonts w:ascii="Courier New" w:hAnsi="Courier New" w:cs="Courier New"/>
        </w:rPr>
        <w:t>(</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IService</w:t>
      </w:r>
      <w:proofErr w:type="spellEnd"/>
      <w:r>
        <w:rPr>
          <w:rFonts w:ascii="Courier New" w:hAnsi="Courier New" w:cs="Courier New"/>
        </w:rPr>
        <w:t xml:space="preserve"> service), </w:t>
      </w:r>
      <w:proofErr w:type="spellStart"/>
      <w:r>
        <w:rPr>
          <w:rFonts w:ascii="Courier New" w:hAnsi="Courier New" w:cs="Courier New"/>
        </w:rPr>
        <w:t>hasAccountAtService</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sidRPr="00362547">
        <w:rPr>
          <w:rFonts w:cs="Times New Roman"/>
        </w:rPr>
        <w:t>.</w:t>
      </w:r>
      <w:r>
        <w:rPr>
          <w:rFonts w:cs="Times New Roman"/>
        </w:rPr>
        <w:t xml:space="preserve">  La classe </w:t>
      </w:r>
      <w:r w:rsidRPr="00362547">
        <w:rPr>
          <w:rFonts w:ascii="Courier New" w:hAnsi="Courier New" w:cs="Courier New"/>
        </w:rPr>
        <w:t>Account</w:t>
      </w:r>
      <w:r>
        <w:rPr>
          <w:rFonts w:cs="Times New Roman"/>
        </w:rPr>
        <w:t xml:space="preserve"> è stata infatti modellata con visibilità package </w:t>
      </w:r>
      <w:proofErr w:type="spellStart"/>
      <w:r>
        <w:rPr>
          <w:rFonts w:cs="Times New Roman"/>
        </w:rPr>
        <w:t>protected</w:t>
      </w:r>
      <w:proofErr w:type="spellEnd"/>
      <w:r>
        <w:rPr>
          <w:rFonts w:cs="Times New Roman"/>
        </w:rPr>
        <w:t xml:space="preserve">, per impedire l’accesso a classi esterne al package </w:t>
      </w:r>
      <w:r w:rsidRPr="00362547">
        <w:rPr>
          <w:rFonts w:ascii="Courier New" w:hAnsi="Courier New" w:cs="Courier New"/>
        </w:rPr>
        <w:t>users</w:t>
      </w:r>
      <w:r w:rsidR="00832E0D">
        <w:rPr>
          <w:rFonts w:cs="Times New Roman"/>
        </w:rPr>
        <w:t xml:space="preserve">: di conseguenza, anche la creazione di nuovi account avviene attraverso questa classe, in particolare nella funzione </w:t>
      </w:r>
      <w:proofErr w:type="spellStart"/>
      <w:r w:rsidR="00832E0D" w:rsidRPr="00832E0D">
        <w:rPr>
          <w:rFonts w:ascii="Courier New" w:hAnsi="Courier New" w:cs="Courier New"/>
        </w:rPr>
        <w:lastRenderedPageBreak/>
        <w:t>newAccountAtService</w:t>
      </w:r>
      <w:proofErr w:type="spellEnd"/>
      <w:r w:rsidR="00832E0D" w:rsidRPr="00832E0D">
        <w:rPr>
          <w:rFonts w:ascii="Courier New" w:hAnsi="Courier New" w:cs="Courier New"/>
        </w:rPr>
        <w:t>(</w:t>
      </w:r>
      <w:proofErr w:type="spellStart"/>
      <w:r w:rsidR="00832E0D" w:rsidRPr="00832E0D">
        <w:rPr>
          <w:rFonts w:ascii="Courier New" w:hAnsi="Courier New" w:cs="Courier New"/>
        </w:rPr>
        <w:t>IService</w:t>
      </w:r>
      <w:proofErr w:type="spellEnd"/>
      <w:r w:rsidR="00832E0D" w:rsidRPr="00832E0D">
        <w:rPr>
          <w:rFonts w:ascii="Courier New" w:hAnsi="Courier New" w:cs="Courier New"/>
        </w:rPr>
        <w:t xml:space="preserve"> service)</w:t>
      </w:r>
      <w:r w:rsidR="00832E0D">
        <w:rPr>
          <w:rFonts w:cs="Times New Roman"/>
        </w:rPr>
        <w:t>. All’interno del metodo troviamo l’</w:t>
      </w:r>
      <w:proofErr w:type="spellStart"/>
      <w:r w:rsidR="00832E0D">
        <w:rPr>
          <w:rFonts w:cs="Times New Roman"/>
        </w:rPr>
        <w:t>istanziazione</w:t>
      </w:r>
      <w:proofErr w:type="spellEnd"/>
      <w:r w:rsidR="00832E0D">
        <w:rPr>
          <w:rFonts w:cs="Times New Roman"/>
        </w:rPr>
        <w:t xml:space="preserve"> di un nuovo account, insieme ad una chiamata alla classe </w:t>
      </w:r>
      <w:proofErr w:type="spellStart"/>
      <w:r w:rsidR="00832E0D" w:rsidRPr="00832E0D">
        <w:rPr>
          <w:rFonts w:ascii="Courier New" w:hAnsi="Courier New" w:cs="Courier New"/>
        </w:rPr>
        <w:t>ConsentManager</w:t>
      </w:r>
      <w:proofErr w:type="spellEnd"/>
      <w:r w:rsidR="00832E0D">
        <w:rPr>
          <w:rFonts w:cs="Times New Roman"/>
        </w:rPr>
        <w:t xml:space="preserve">, che realizza quanto anticipato al paragrafo </w:t>
      </w:r>
      <w:r w:rsidR="00832E0D">
        <w:rPr>
          <w:rFonts w:cs="Times New Roman"/>
        </w:rPr>
        <w:fldChar w:fldCharType="begin"/>
      </w:r>
      <w:r w:rsidR="00832E0D">
        <w:rPr>
          <w:rFonts w:cs="Times New Roman"/>
        </w:rPr>
        <w:instrText xml:space="preserve"> REF _Ref466909001 \h </w:instrText>
      </w:r>
      <w:r w:rsidR="00832E0D">
        <w:rPr>
          <w:rFonts w:cs="Times New Roman"/>
        </w:rPr>
      </w:r>
      <w:r w:rsidR="00832E0D">
        <w:rPr>
          <w:rFonts w:cs="Times New Roman"/>
        </w:rPr>
        <w:fldChar w:fldCharType="separate"/>
      </w:r>
      <w:r w:rsidR="00832E0D">
        <w:t xml:space="preserve">4.4 </w:t>
      </w:r>
      <w:proofErr w:type="spellStart"/>
      <w:r w:rsidR="00832E0D">
        <w:t>Consent</w:t>
      </w:r>
      <w:proofErr w:type="spellEnd"/>
      <w:r w:rsidR="00832E0D">
        <w:rPr>
          <w:rFonts w:cs="Times New Roman"/>
        </w:rPr>
        <w:fldChar w:fldCharType="end"/>
      </w:r>
      <w:r w:rsidR="00832E0D">
        <w:rPr>
          <w:rFonts w:cs="Times New Roman"/>
        </w:rPr>
        <w:t xml:space="preserve">. In questo modo si realizza un esempio di </w:t>
      </w:r>
      <w:r w:rsidR="00832E0D">
        <w:rPr>
          <w:rFonts w:cs="Times New Roman"/>
          <w:i/>
        </w:rPr>
        <w:t xml:space="preserve">Service </w:t>
      </w:r>
      <w:proofErr w:type="spellStart"/>
      <w:r w:rsidR="00832E0D">
        <w:rPr>
          <w:rFonts w:cs="Times New Roman"/>
          <w:i/>
        </w:rPr>
        <w:t>Linking</w:t>
      </w:r>
      <w:proofErr w:type="spellEnd"/>
      <w:r w:rsidR="00832E0D">
        <w:rPr>
          <w:rFonts w:cs="Times New Roman"/>
        </w:rPr>
        <w:t xml:space="preserve">, e l’esito di questa operazione viene concretizzato in un oggetto </w:t>
      </w:r>
      <w:proofErr w:type="spellStart"/>
      <w:r w:rsidR="00832E0D" w:rsidRPr="00832E0D">
        <w:rPr>
          <w:rFonts w:ascii="Courier New" w:hAnsi="Courier New" w:cs="Courier New"/>
        </w:rPr>
        <w:t>ServiceConsent</w:t>
      </w:r>
      <w:proofErr w:type="spellEnd"/>
      <w:r w:rsidR="00832E0D">
        <w:rPr>
          <w:rFonts w:cs="Times New Roman"/>
        </w:rPr>
        <w:t xml:space="preserve">. Si rimandano però ulteriori dettagli a quanto spiegato nella sezione </w:t>
      </w:r>
      <w:r w:rsidR="00832E0D">
        <w:rPr>
          <w:rFonts w:cs="Times New Roman"/>
        </w:rPr>
        <w:fldChar w:fldCharType="begin"/>
      </w:r>
      <w:r w:rsidR="00832E0D">
        <w:rPr>
          <w:rFonts w:cs="Times New Roman"/>
        </w:rPr>
        <w:instrText xml:space="preserve"> REF _Ref466909302 \h </w:instrText>
      </w:r>
      <w:r w:rsidR="00832E0D">
        <w:rPr>
          <w:rFonts w:cs="Times New Roman"/>
        </w:rPr>
      </w:r>
      <w:r w:rsidR="00832E0D">
        <w:rPr>
          <w:rFonts w:cs="Times New Roman"/>
        </w:rPr>
        <w:fldChar w:fldCharType="separate"/>
      </w:r>
      <w:r w:rsidR="00832E0D">
        <w:t xml:space="preserve">5.6 Autorizzazioni e </w:t>
      </w:r>
      <w:proofErr w:type="spellStart"/>
      <w:r w:rsidR="00832E0D">
        <w:t>Consent</w:t>
      </w:r>
      <w:proofErr w:type="spellEnd"/>
      <w:r w:rsidR="00832E0D">
        <w:rPr>
          <w:rFonts w:cs="Times New Roman"/>
        </w:rPr>
        <w:fldChar w:fldCharType="end"/>
      </w:r>
      <w:r w:rsidR="00832E0D">
        <w:rPr>
          <w:rFonts w:cs="Times New Roman"/>
        </w:rPr>
        <w:t>.</w:t>
      </w:r>
    </w:p>
    <w:p w:rsidR="009F0182" w:rsidRDefault="00371985" w:rsidP="00371985">
      <w:pPr>
        <w:pStyle w:val="Heading3"/>
      </w:pPr>
      <w:bookmarkStart w:id="31" w:name="_Toc466904557"/>
      <w:r>
        <w:t xml:space="preserve">5.2.2 </w:t>
      </w:r>
      <w:proofErr w:type="spellStart"/>
      <w:r>
        <w:t>IAccount</w:t>
      </w:r>
      <w:proofErr w:type="spellEnd"/>
      <w:r>
        <w:t>, Account</w:t>
      </w:r>
      <w:bookmarkEnd w:id="31"/>
    </w:p>
    <w:p w:rsidR="00371985" w:rsidRDefault="00371985" w:rsidP="00371985">
      <w:pPr>
        <w:keepNext/>
        <w:jc w:val="center"/>
      </w:pPr>
      <w:r>
        <w:rPr>
          <w:noProof/>
        </w:rPr>
        <w:drawing>
          <wp:inline distT="0" distB="0" distL="0" distR="0">
            <wp:extent cx="5256530" cy="2155397"/>
            <wp:effectExtent l="0" t="0" r="1270" b="0"/>
            <wp:docPr id="1" name="Picture 1" descr="C:\Users\Giada\AppData\Local\Microsoft\Windows\INetCacheContent.Word\Accoun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da\AppData\Local\Microsoft\Windows\INetCacheContent.Word\Accounting-Accou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2155397"/>
                    </a:xfrm>
                    <a:prstGeom prst="rect">
                      <a:avLst/>
                    </a:prstGeom>
                    <a:noFill/>
                    <a:ln>
                      <a:noFill/>
                    </a:ln>
                  </pic:spPr>
                </pic:pic>
              </a:graphicData>
            </a:graphic>
          </wp:inline>
        </w:drawing>
      </w:r>
    </w:p>
    <w:p w:rsidR="00371985" w:rsidRDefault="00371985" w:rsidP="00371985">
      <w:pPr>
        <w:pStyle w:val="Caption"/>
        <w:jc w:val="center"/>
      </w:pPr>
      <w:r>
        <w:t xml:space="preserve">Figura </w:t>
      </w:r>
      <w:r w:rsidR="009509B6">
        <w:fldChar w:fldCharType="begin"/>
      </w:r>
      <w:r w:rsidR="009509B6">
        <w:instrText xml:space="preserve"> SEQ Figura \* ARABIC </w:instrText>
      </w:r>
      <w:r w:rsidR="009509B6">
        <w:fldChar w:fldCharType="separate"/>
      </w:r>
      <w:r w:rsidR="00A30E21">
        <w:rPr>
          <w:noProof/>
        </w:rPr>
        <w:t>3</w:t>
      </w:r>
      <w:r w:rsidR="009509B6">
        <w:rPr>
          <w:noProof/>
        </w:rPr>
        <w:fldChar w:fldCharType="end"/>
      </w:r>
    </w:p>
    <w:p w:rsidR="003D4235" w:rsidRDefault="003D4235" w:rsidP="003D4235">
      <w:r>
        <w:t xml:space="preserve">La classe </w:t>
      </w:r>
      <w:r w:rsidRPr="003D4235">
        <w:rPr>
          <w:rFonts w:ascii="Courier New" w:hAnsi="Courier New" w:cs="Courier New"/>
        </w:rPr>
        <w:t>Account</w:t>
      </w:r>
      <w:r>
        <w:t xml:space="preserve"> è abbastanza semplice, poiché si occupa semplicemente di implementare la logica di basso livello nelle operazioni di gestione degli account.</w:t>
      </w:r>
    </w:p>
    <w:p w:rsidR="003D4235" w:rsidRDefault="003D4235" w:rsidP="003D4235">
      <w:r>
        <w:t xml:space="preserve">Fra queste vi sono i controlli sullo stato dei </w:t>
      </w:r>
      <w:proofErr w:type="spellStart"/>
      <w:r>
        <w:t>Consent</w:t>
      </w:r>
      <w:proofErr w:type="spellEnd"/>
      <w:r>
        <w:t xml:space="preserve"> memorizzati, la gestione dello storico di tutti i </w:t>
      </w:r>
      <w:proofErr w:type="spellStart"/>
      <w:r>
        <w:t>Consent</w:t>
      </w:r>
      <w:proofErr w:type="spellEnd"/>
      <w:r>
        <w:t xml:space="preserve"> emessi per quel servizio </w:t>
      </w:r>
      <w:r w:rsidRPr="003D4235">
        <w:rPr>
          <w:rFonts w:ascii="Courier New" w:hAnsi="Courier New" w:cs="Courier New"/>
        </w:rPr>
        <w:t>service</w:t>
      </w:r>
      <w:r>
        <w:t xml:space="preserve">, o ancora il </w:t>
      </w:r>
      <w:proofErr w:type="spellStart"/>
      <w:r>
        <w:t>matching</w:t>
      </w:r>
      <w:proofErr w:type="spellEnd"/>
      <w:r>
        <w:t xml:space="preserve"> fra i due tipi di </w:t>
      </w:r>
      <w:proofErr w:type="spellStart"/>
      <w:r>
        <w:t>Consent</w:t>
      </w:r>
      <w:proofErr w:type="spellEnd"/>
      <w:r>
        <w:t xml:space="preserve"> (</w:t>
      </w:r>
      <w:proofErr w:type="spellStart"/>
      <w:r w:rsidRPr="003D4235">
        <w:rPr>
          <w:rFonts w:ascii="Courier New" w:hAnsi="Courier New" w:cs="Courier New"/>
        </w:rPr>
        <w:t>ServiceConsent</w:t>
      </w:r>
      <w:proofErr w:type="spellEnd"/>
      <w:r>
        <w:t xml:space="preserve">, </w:t>
      </w:r>
      <w:proofErr w:type="spellStart"/>
      <w:r w:rsidRPr="003D4235">
        <w:rPr>
          <w:rFonts w:ascii="Courier New" w:hAnsi="Courier New" w:cs="Courier New"/>
        </w:rPr>
        <w:t>DataConsent</w:t>
      </w:r>
      <w:proofErr w:type="spellEnd"/>
      <w:r>
        <w:t xml:space="preserve">, dettagliati al paragrafo </w:t>
      </w:r>
      <w:r>
        <w:fldChar w:fldCharType="begin"/>
      </w:r>
      <w:r>
        <w:instrText xml:space="preserve"> REF _Ref466909682 \h </w:instrText>
      </w:r>
      <w:r>
        <w:fldChar w:fldCharType="separate"/>
      </w:r>
      <w:r>
        <w:t xml:space="preserve">5.6.2 </w:t>
      </w:r>
      <w:proofErr w:type="spellStart"/>
      <w:r>
        <w:t>ServiceConsent</w:t>
      </w:r>
      <w:proofErr w:type="spellEnd"/>
      <w:r>
        <w:t xml:space="preserve">, </w:t>
      </w:r>
      <w:proofErr w:type="spellStart"/>
      <w:r>
        <w:t>DataConsent</w:t>
      </w:r>
      <w:proofErr w:type="spellEnd"/>
      <w:r>
        <w:fldChar w:fldCharType="end"/>
      </w:r>
      <w:r>
        <w:t>).</w:t>
      </w:r>
    </w:p>
    <w:p w:rsidR="003D4235" w:rsidRDefault="003D4235" w:rsidP="003D4235">
      <w:r>
        <w:t xml:space="preserve">La memorizzazione dei </w:t>
      </w:r>
      <w:proofErr w:type="spellStart"/>
      <w:r>
        <w:t>Consent</w:t>
      </w:r>
      <w:proofErr w:type="spellEnd"/>
      <w:r>
        <w:t xml:space="preserve"> all’interno della classe è stata ottenuta mediante l’utilizzo combinato delle strutture dati </w:t>
      </w:r>
      <w:proofErr w:type="spellStart"/>
      <w:r w:rsidRPr="002569D5">
        <w:rPr>
          <w:rFonts w:ascii="Courier New" w:hAnsi="Courier New" w:cs="Courier New"/>
        </w:rPr>
        <w:t>Map</w:t>
      </w:r>
      <w:proofErr w:type="spellEnd"/>
      <w:r w:rsidRPr="002569D5">
        <w:rPr>
          <w:rFonts w:ascii="Courier New" w:hAnsi="Courier New" w:cs="Courier New"/>
        </w:rPr>
        <w:t>&lt;</w:t>
      </w:r>
      <w:proofErr w:type="spellStart"/>
      <w:r w:rsidRPr="002569D5">
        <w:rPr>
          <w:rFonts w:ascii="Courier New" w:hAnsi="Courier New" w:cs="Courier New"/>
        </w:rPr>
        <w:t>ServiceConsent</w:t>
      </w:r>
      <w:proofErr w:type="spellEnd"/>
      <w:r w:rsidRPr="002569D5">
        <w:rPr>
          <w:rFonts w:ascii="Courier New" w:hAnsi="Courier New" w:cs="Courier New"/>
        </w:rPr>
        <w:t>, List&lt;</w:t>
      </w:r>
      <w:proofErr w:type="spellStart"/>
      <w:r w:rsidRPr="002569D5">
        <w:rPr>
          <w:rFonts w:ascii="Courier New" w:hAnsi="Courier New" w:cs="Courier New"/>
        </w:rPr>
        <w:t>DataConsent</w:t>
      </w:r>
      <w:proofErr w:type="spellEnd"/>
      <w:r w:rsidRPr="002569D5">
        <w:rPr>
          <w:rFonts w:ascii="Courier New" w:hAnsi="Courier New" w:cs="Courier New"/>
        </w:rPr>
        <w:t>&gt;&gt;</w:t>
      </w:r>
      <w:r>
        <w:t xml:space="preserve">. Questa scelta permette di esprimere diversi concetti a livello semantico. Come prima cosa, per i </w:t>
      </w:r>
      <w:proofErr w:type="spellStart"/>
      <w:r>
        <w:t>Consent</w:t>
      </w:r>
      <w:proofErr w:type="spellEnd"/>
      <w:r>
        <w:t xml:space="preserve"> sul flusso di dati si è scelto di utilizzare la classe base </w:t>
      </w:r>
      <w:proofErr w:type="spellStart"/>
      <w:r w:rsidRPr="002569D5">
        <w:rPr>
          <w:rFonts w:ascii="Courier New" w:hAnsi="Courier New" w:cs="Courier New"/>
        </w:rPr>
        <w:t>DataConsent</w:t>
      </w:r>
      <w:proofErr w:type="spellEnd"/>
      <w:r>
        <w:t xml:space="preserve"> invece che le sue due implementazioni, in modo</w:t>
      </w:r>
      <w:r w:rsidR="002569D5">
        <w:t xml:space="preserve"> da poterli memorizzare indiscriminatamente. Ciò verifica l’utilizzo del principio di sostituibilità di </w:t>
      </w:r>
      <w:proofErr w:type="spellStart"/>
      <w:r w:rsidR="002569D5">
        <w:t>Liskov</w:t>
      </w:r>
      <w:proofErr w:type="spellEnd"/>
      <w:r w:rsidR="002569D5">
        <w:t xml:space="preserve">. Inoltre, la scelta di una </w:t>
      </w:r>
      <w:r w:rsidR="002569D5" w:rsidRPr="002569D5">
        <w:rPr>
          <w:rFonts w:ascii="Courier New" w:hAnsi="Courier New" w:cs="Courier New"/>
        </w:rPr>
        <w:t>List</w:t>
      </w:r>
      <w:r w:rsidR="002569D5">
        <w:t xml:space="preserve"> come </w:t>
      </w:r>
      <w:proofErr w:type="spellStart"/>
      <w:r w:rsidR="002569D5" w:rsidRPr="002569D5">
        <w:rPr>
          <w:rFonts w:ascii="Courier New" w:hAnsi="Courier New" w:cs="Courier New"/>
        </w:rPr>
        <w:t>value</w:t>
      </w:r>
      <w:proofErr w:type="spellEnd"/>
      <w:r w:rsidR="002569D5">
        <w:t xml:space="preserve"> all’interno di una mappa permette di descrivere un flusso di dati (all’interno dello stesso </w:t>
      </w:r>
      <w:proofErr w:type="spellStart"/>
      <w:r w:rsidR="002569D5" w:rsidRPr="002569D5">
        <w:rPr>
          <w:rFonts w:ascii="Courier New" w:hAnsi="Courier New" w:cs="Courier New"/>
        </w:rPr>
        <w:lastRenderedPageBreak/>
        <w:t>ServiceConsent</w:t>
      </w:r>
      <w:proofErr w:type="spellEnd"/>
      <w:r w:rsidR="002569D5">
        <w:t xml:space="preserve">) per il quale si sono rivelate </w:t>
      </w:r>
      <w:proofErr w:type="spellStart"/>
      <w:r w:rsidR="002569D5">
        <w:t>necessare</w:t>
      </w:r>
      <w:proofErr w:type="spellEnd"/>
      <w:r w:rsidR="002569D5">
        <w:t xml:space="preserve"> una molteplicità di interazioni fra </w:t>
      </w:r>
      <w:r w:rsidR="002569D5">
        <w:rPr>
          <w:i/>
        </w:rPr>
        <w:t xml:space="preserve">Source </w:t>
      </w:r>
      <w:r w:rsidR="002569D5">
        <w:t xml:space="preserve">e </w:t>
      </w:r>
      <w:proofErr w:type="spellStart"/>
      <w:r w:rsidR="002569D5">
        <w:rPr>
          <w:i/>
        </w:rPr>
        <w:t>Sink</w:t>
      </w:r>
      <w:proofErr w:type="spellEnd"/>
      <w:r w:rsidR="002569D5">
        <w:t xml:space="preserve">, ognuna delle quali modellata da un </w:t>
      </w:r>
      <w:proofErr w:type="spellStart"/>
      <w:r w:rsidR="002569D5" w:rsidRPr="002569D5">
        <w:rPr>
          <w:rFonts w:ascii="Courier New" w:hAnsi="Courier New" w:cs="Courier New"/>
        </w:rPr>
        <w:t>DataConsent</w:t>
      </w:r>
      <w:proofErr w:type="spellEnd"/>
      <w:r w:rsidR="002569D5">
        <w:t>.</w:t>
      </w:r>
    </w:p>
    <w:p w:rsidR="002569D5" w:rsidRPr="002569D5" w:rsidRDefault="002569D5" w:rsidP="003D4235">
      <w:r>
        <w:t xml:space="preserve">Ad ogni istanza di </w:t>
      </w:r>
      <w:proofErr w:type="spellStart"/>
      <w:r w:rsidRPr="002569D5">
        <w:rPr>
          <w:rFonts w:ascii="Courier New" w:hAnsi="Courier New" w:cs="Courier New"/>
        </w:rPr>
        <w:t>ServiceConsent</w:t>
      </w:r>
      <w:proofErr w:type="spellEnd"/>
      <w:r>
        <w:t xml:space="preserve"> corrisponde quindi una </w:t>
      </w:r>
      <w:r w:rsidRPr="002569D5">
        <w:rPr>
          <w:rFonts w:ascii="Courier New" w:hAnsi="Courier New" w:cs="Courier New"/>
        </w:rPr>
        <w:t>Collection</w:t>
      </w:r>
      <w:r>
        <w:t xml:space="preserve"> dei </w:t>
      </w:r>
      <w:proofErr w:type="spellStart"/>
      <w:r w:rsidRPr="002569D5">
        <w:rPr>
          <w:rFonts w:ascii="Courier New" w:hAnsi="Courier New" w:cs="Courier New"/>
        </w:rPr>
        <w:t>DataConsent</w:t>
      </w:r>
      <w:proofErr w:type="spellEnd"/>
      <w:r>
        <w:t xml:space="preserve"> emessi durante il periodo di validità dello stesso, ed è possibile avere un unico </w:t>
      </w:r>
      <w:proofErr w:type="spellStart"/>
      <w:r w:rsidRPr="002569D5">
        <w:rPr>
          <w:rFonts w:ascii="Courier New" w:hAnsi="Courier New" w:cs="Courier New"/>
        </w:rPr>
        <w:t>ServiceConsent</w:t>
      </w:r>
      <w:proofErr w:type="spellEnd"/>
      <w:r>
        <w:t xml:space="preserve"> attivo in un determinato istante di tempo.</w:t>
      </w:r>
    </w:p>
    <w:p w:rsidR="00371985" w:rsidRDefault="006A1EEE" w:rsidP="00371985">
      <w:pPr>
        <w:pStyle w:val="Heading2"/>
      </w:pPr>
      <w:bookmarkStart w:id="32" w:name="_Toc466904558"/>
      <w:r>
        <w:t>5.3 Security</w:t>
      </w:r>
      <w:r w:rsidR="00371985">
        <w:t>Manager</w:t>
      </w:r>
      <w:bookmarkEnd w:id="32"/>
    </w:p>
    <w:p w:rsidR="00371985" w:rsidRDefault="00371985" w:rsidP="00371985">
      <w:pPr>
        <w:keepNext/>
        <w:jc w:val="center"/>
      </w:pPr>
      <w:r>
        <w:rPr>
          <w:noProof/>
        </w:rPr>
        <w:drawing>
          <wp:inline distT="0" distB="0" distL="0" distR="0">
            <wp:extent cx="5256530" cy="1754705"/>
            <wp:effectExtent l="0" t="0" r="1270" b="0"/>
            <wp:docPr id="2" name="Picture 2" descr="C:\Users\Giada\AppData\Local\Microsoft\Windows\INetCacheContent.Word\Accounting-Securit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da\AppData\Local\Microsoft\Windows\INetCacheContent.Word\Accounting-SecurityManag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530" cy="1754705"/>
                    </a:xfrm>
                    <a:prstGeom prst="rect">
                      <a:avLst/>
                    </a:prstGeom>
                    <a:noFill/>
                    <a:ln>
                      <a:noFill/>
                    </a:ln>
                  </pic:spPr>
                </pic:pic>
              </a:graphicData>
            </a:graphic>
          </wp:inline>
        </w:drawing>
      </w:r>
    </w:p>
    <w:p w:rsidR="00371985" w:rsidRDefault="00371985" w:rsidP="00371985">
      <w:pPr>
        <w:pStyle w:val="Caption"/>
        <w:jc w:val="center"/>
      </w:pPr>
      <w:r>
        <w:t xml:space="preserve">Figura </w:t>
      </w:r>
      <w:r w:rsidR="009509B6">
        <w:fldChar w:fldCharType="begin"/>
      </w:r>
      <w:r w:rsidR="009509B6">
        <w:instrText xml:space="preserve"> SEQ Figura \* ARABIC </w:instrText>
      </w:r>
      <w:r w:rsidR="009509B6">
        <w:fldChar w:fldCharType="separate"/>
      </w:r>
      <w:r w:rsidR="00A30E21">
        <w:rPr>
          <w:noProof/>
        </w:rPr>
        <w:t>4</w:t>
      </w:r>
      <w:r w:rsidR="009509B6">
        <w:rPr>
          <w:noProof/>
        </w:rPr>
        <w:fldChar w:fldCharType="end"/>
      </w:r>
    </w:p>
    <w:p w:rsidR="00371985" w:rsidRDefault="00371985" w:rsidP="00371985">
      <w:pPr>
        <w:pStyle w:val="Heading2"/>
      </w:pPr>
      <w:bookmarkStart w:id="33" w:name="_Toc466904559"/>
      <w:r>
        <w:t>5.4 IMyData, MyData</w:t>
      </w:r>
      <w:bookmarkEnd w:id="33"/>
    </w:p>
    <w:p w:rsidR="00371985" w:rsidRDefault="00371985" w:rsidP="00371985">
      <w:pPr>
        <w:keepNext/>
        <w:jc w:val="center"/>
      </w:pPr>
      <w:r>
        <w:rPr>
          <w:noProof/>
        </w:rPr>
        <w:drawing>
          <wp:inline distT="0" distB="0" distL="0" distR="0">
            <wp:extent cx="5256530" cy="3421475"/>
            <wp:effectExtent l="0" t="0" r="1270" b="7620"/>
            <wp:docPr id="4" name="Picture 4" descr="C:\Users\Giada\AppData\Local\Microsoft\Windows\INetCacheContent.Word\M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My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530" cy="3421475"/>
                    </a:xfrm>
                    <a:prstGeom prst="rect">
                      <a:avLst/>
                    </a:prstGeom>
                    <a:noFill/>
                    <a:ln>
                      <a:noFill/>
                    </a:ln>
                  </pic:spPr>
                </pic:pic>
              </a:graphicData>
            </a:graphic>
          </wp:inline>
        </w:drawing>
      </w:r>
    </w:p>
    <w:p w:rsidR="00371985" w:rsidRDefault="00371985" w:rsidP="00371985">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sidR="00A30E21">
        <w:rPr>
          <w:noProof/>
        </w:rPr>
        <w:t>5</w:t>
      </w:r>
      <w:r w:rsidR="009509B6">
        <w:rPr>
          <w:noProof/>
        </w:rPr>
        <w:fldChar w:fldCharType="end"/>
      </w:r>
    </w:p>
    <w:p w:rsidR="000C341F" w:rsidRDefault="000C341F" w:rsidP="000C341F">
      <w:r>
        <w:t xml:space="preserve">La classe </w:t>
      </w:r>
      <w:proofErr w:type="spellStart"/>
      <w:r>
        <w:t>MyData</w:t>
      </w:r>
      <w:proofErr w:type="spellEnd"/>
      <w:r>
        <w:t xml:space="preserve"> svolge all’interno del gestore di dati personali un importante ruol</w:t>
      </w:r>
      <w:r w:rsidR="00FC61F8">
        <w:t xml:space="preserve">o di coordinazione fra le parti, poiché </w:t>
      </w:r>
      <w:r>
        <w:t xml:space="preserve">realizza al suo interno una parte dell’Operatore </w:t>
      </w:r>
      <w:proofErr w:type="spellStart"/>
      <w:r>
        <w:lastRenderedPageBreak/>
        <w:t>MyData</w:t>
      </w:r>
      <w:proofErr w:type="spellEnd"/>
      <w:r>
        <w:t xml:space="preserve">, secondo quanto specificato in 4.2. </w:t>
      </w:r>
      <w:r w:rsidR="00FC61F8">
        <w:t>Essa è un punto di riferimento per l’interfaccia utente, alla quale fornisce i dati da elaborare e mostrare a video, e dalla quale riceve le richieste effettuate dall’utente.</w:t>
      </w:r>
    </w:p>
    <w:p w:rsidR="00FC61F8" w:rsidRDefault="00FC61F8" w:rsidP="000C341F">
      <w:r>
        <w:t>Si occupa quindi come prim</w:t>
      </w:r>
      <w:r w:rsidR="0015021B">
        <w:t>a cosa</w:t>
      </w:r>
      <w:r>
        <w:t xml:space="preserve"> di registrare e autenticare gli utenti (metodi </w:t>
      </w:r>
      <w:proofErr w:type="spellStart"/>
      <w:r>
        <w:t>createMyDataAccount</w:t>
      </w:r>
      <w:proofErr w:type="spellEnd"/>
      <w:r>
        <w:t xml:space="preserve"> e </w:t>
      </w:r>
      <w:proofErr w:type="spellStart"/>
      <w:r>
        <w:t>loginUser</w:t>
      </w:r>
      <w:proofErr w:type="spellEnd"/>
      <w:r>
        <w:t>) in modo da impedire la creazione di duplicati. I controlli in questo senso vengono effettuati su un Set&lt;</w:t>
      </w:r>
      <w:proofErr w:type="spellStart"/>
      <w:r>
        <w:t>IUser</w:t>
      </w:r>
      <w:proofErr w:type="spellEnd"/>
      <w:r>
        <w:t>&gt; contenuto all’interno della classe (</w:t>
      </w:r>
      <w:r w:rsidR="008B6956">
        <w:t>si sfrutta la</w:t>
      </w:r>
      <w:r>
        <w:t xml:space="preserve"> proprietà della struttura dati Set di non ammettere duplicati)</w:t>
      </w:r>
      <w:r w:rsidR="008B6956">
        <w:t>.</w:t>
      </w:r>
      <w:r w:rsidR="0015021B">
        <w:t xml:space="preserve"> L</w:t>
      </w:r>
      <w:r w:rsidR="008B6956">
        <w:t xml:space="preserve">a creazione di un nuovo account presso un determinato servizio viene gestita da questa classe, tramite invocazione dell’opportuno metodo esposto dall’interfaccia </w:t>
      </w:r>
      <w:proofErr w:type="spellStart"/>
      <w:r w:rsidR="008B6956">
        <w:t>IU</w:t>
      </w:r>
      <w:r w:rsidR="0015021B">
        <w:t>ser</w:t>
      </w:r>
      <w:proofErr w:type="spellEnd"/>
      <w:r w:rsidR="0015021B">
        <w:t xml:space="preserve">, insieme alla richiesta di nuovi </w:t>
      </w:r>
      <w:proofErr w:type="spellStart"/>
      <w:r w:rsidR="0015021B">
        <w:t>ServiceConsent</w:t>
      </w:r>
      <w:proofErr w:type="spellEnd"/>
      <w:r w:rsidR="0015021B">
        <w:t xml:space="preserve"> in caso di utente già registrato.</w:t>
      </w:r>
    </w:p>
    <w:p w:rsidR="00FC61F8" w:rsidRDefault="008B6956" w:rsidP="000C341F">
      <w:r>
        <w:t xml:space="preserve">In secondo luogo, </w:t>
      </w:r>
      <w:r w:rsidR="0015021B">
        <w:t>ogni servizio che ha richiesto e ottenuto il permesso di accedere a uno specifico insieme di dati personali di un utente fa riferimento alla clas</w:t>
      </w:r>
      <w:r w:rsidR="009E78E0">
        <w:t xml:space="preserve">se </w:t>
      </w:r>
      <w:proofErr w:type="spellStart"/>
      <w:r w:rsidR="009E78E0">
        <w:t>MyData</w:t>
      </w:r>
      <w:proofErr w:type="spellEnd"/>
      <w:r w:rsidR="009E78E0">
        <w:t xml:space="preserve">, che si occupa di intercedere presso il Personal Data </w:t>
      </w:r>
      <w:proofErr w:type="spellStart"/>
      <w:r w:rsidR="009E78E0">
        <w:t>Vault</w:t>
      </w:r>
      <w:proofErr w:type="spellEnd"/>
      <w:r w:rsidR="009E78E0">
        <w:t xml:space="preserve"> per ottenere quanto richiesto. L’operazione si svolge sia per i dati in ingresso che per i dati in uscita dal </w:t>
      </w:r>
      <w:proofErr w:type="spellStart"/>
      <w:r w:rsidR="009E78E0">
        <w:t>Vault</w:t>
      </w:r>
      <w:proofErr w:type="spellEnd"/>
      <w:r w:rsidR="009E78E0">
        <w:t xml:space="preserve"> mediante i metodi </w:t>
      </w:r>
      <w:proofErr w:type="spellStart"/>
      <w:r w:rsidR="009E78E0" w:rsidRPr="009E78E0">
        <w:t>getDataSetForOutputDataConsent</w:t>
      </w:r>
      <w:proofErr w:type="spellEnd"/>
      <w:r w:rsidR="009E78E0" w:rsidRPr="009E78E0">
        <w:t>(</w:t>
      </w:r>
      <w:proofErr w:type="spellStart"/>
      <w:r w:rsidR="009E78E0" w:rsidRPr="009E78E0">
        <w:t>OutputDataConsent</w:t>
      </w:r>
      <w:proofErr w:type="spellEnd"/>
      <w:r w:rsidR="009E78E0" w:rsidRPr="009E78E0">
        <w:t xml:space="preserve"> </w:t>
      </w:r>
      <w:proofErr w:type="spellStart"/>
      <w:r w:rsidR="009E78E0" w:rsidRPr="009E78E0">
        <w:t>outputDataConsent</w:t>
      </w:r>
      <w:proofErr w:type="spellEnd"/>
      <w:r w:rsidR="009E78E0" w:rsidRPr="009E78E0">
        <w:t>)</w:t>
      </w:r>
      <w:r w:rsidR="009E78E0">
        <w:t xml:space="preserve"> e </w:t>
      </w:r>
      <w:proofErr w:type="spellStart"/>
      <w:r w:rsidR="009E78E0" w:rsidRPr="009E78E0">
        <w:t>saveDataSet</w:t>
      </w:r>
      <w:proofErr w:type="spellEnd"/>
      <w:r w:rsidR="009E78E0" w:rsidRPr="009E78E0">
        <w:t>(</w:t>
      </w:r>
      <w:proofErr w:type="spellStart"/>
      <w:r w:rsidR="009E78E0" w:rsidRPr="009E78E0">
        <w:t>IDataSet</w:t>
      </w:r>
      <w:proofErr w:type="spellEnd"/>
      <w:r w:rsidR="009E78E0" w:rsidRPr="009E78E0">
        <w:t xml:space="preserve"> </w:t>
      </w:r>
      <w:proofErr w:type="spellStart"/>
      <w:r w:rsidR="009E78E0" w:rsidRPr="009E78E0">
        <w:t>dataSet</w:t>
      </w:r>
      <w:proofErr w:type="spellEnd"/>
      <w:r w:rsidR="009E78E0" w:rsidRPr="009E78E0">
        <w:t xml:space="preserve">, </w:t>
      </w:r>
      <w:proofErr w:type="spellStart"/>
      <w:r w:rsidR="009E78E0" w:rsidRPr="009E78E0">
        <w:t>InputDataConsent</w:t>
      </w:r>
      <w:proofErr w:type="spellEnd"/>
      <w:r w:rsidR="009E78E0" w:rsidRPr="009E78E0">
        <w:t xml:space="preserve"> </w:t>
      </w:r>
      <w:proofErr w:type="spellStart"/>
      <w:r w:rsidR="009E78E0" w:rsidRPr="009E78E0">
        <w:t>inDataConsent</w:t>
      </w:r>
      <w:proofErr w:type="spellEnd"/>
      <w:r w:rsidR="009E78E0" w:rsidRPr="009E78E0">
        <w:t>)</w:t>
      </w:r>
      <w:r w:rsidR="009E78E0">
        <w:t xml:space="preserve">. In entrambi i casi, viene controllata la validità del </w:t>
      </w:r>
      <w:proofErr w:type="spellStart"/>
      <w:r w:rsidR="009E78E0">
        <w:t>Consent</w:t>
      </w:r>
      <w:proofErr w:type="spellEnd"/>
      <w:r w:rsidR="009E78E0">
        <w:t xml:space="preserve"> emesso prima di effettuare la richiesta di dati personali.</w:t>
      </w:r>
    </w:p>
    <w:p w:rsidR="00EF08BA" w:rsidRDefault="00EF08BA" w:rsidP="000C341F">
      <w:r>
        <w:t xml:space="preserve">Infine, si evidenzia la realizzazione della classe </w:t>
      </w:r>
      <w:proofErr w:type="spellStart"/>
      <w:r>
        <w:t>MyData</w:t>
      </w:r>
      <w:proofErr w:type="spellEnd"/>
      <w:r>
        <w:t xml:space="preserve"> come Singleton mediante l’utilizzo di un costruttore privato e di un campo </w:t>
      </w:r>
      <w:proofErr w:type="spellStart"/>
      <w:r>
        <w:t>instance</w:t>
      </w:r>
      <w:proofErr w:type="spellEnd"/>
      <w:r>
        <w:t xml:space="preserve"> di tipo </w:t>
      </w:r>
      <w:proofErr w:type="spellStart"/>
      <w:r>
        <w:t>MyData</w:t>
      </w:r>
      <w:proofErr w:type="spellEnd"/>
      <w:r>
        <w:t>. Ciò assicura la presenza di un unico Operatore di questo tipo all’interno del programma</w:t>
      </w:r>
    </w:p>
    <w:p w:rsidR="008B6956" w:rsidRDefault="008B6956" w:rsidP="00371985">
      <w:pPr>
        <w:pStyle w:val="Heading2"/>
      </w:pPr>
      <w:bookmarkStart w:id="34" w:name="_Toc466904560"/>
      <w:bookmarkStart w:id="35" w:name="_Ref466909302"/>
    </w:p>
    <w:p w:rsidR="00371985" w:rsidRDefault="00371985" w:rsidP="00371985">
      <w:pPr>
        <w:pStyle w:val="Heading2"/>
      </w:pPr>
      <w:r>
        <w:t>5.6 Autorizzazioni e Consent</w:t>
      </w:r>
      <w:bookmarkEnd w:id="34"/>
      <w:bookmarkEnd w:id="35"/>
    </w:p>
    <w:p w:rsidR="00DB1D37" w:rsidRDefault="00DB1D37" w:rsidP="00DB1D37">
      <w:pPr>
        <w:keepNext/>
        <w:jc w:val="center"/>
      </w:pPr>
      <w:r>
        <w:rPr>
          <w:noProof/>
        </w:rPr>
        <w:drawing>
          <wp:inline distT="0" distB="0" distL="0" distR="0">
            <wp:extent cx="5256530" cy="2331205"/>
            <wp:effectExtent l="0" t="0" r="1270" b="0"/>
            <wp:docPr id="6" name="Picture 6" descr="C:\Users\Giada\AppData\Local\Microsoft\Windows\INetCacheContent.Word\Auth-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a\AppData\Local\Microsoft\Windows\INetCacheContent.Word\Auth-clos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530" cy="2331205"/>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sidR="00A30E21">
        <w:rPr>
          <w:noProof/>
        </w:rPr>
        <w:t>6</w:t>
      </w:r>
      <w:r w:rsidR="009509B6">
        <w:rPr>
          <w:noProof/>
        </w:rPr>
        <w:fldChar w:fldCharType="end"/>
      </w:r>
    </w:p>
    <w:p w:rsidR="00EF08BA" w:rsidRDefault="009C2D76" w:rsidP="00EF08BA">
      <w:r>
        <w:t>Per quanto riguarda la gestione delle autorizzazioni e dei permessi, si procede come prima cosa ad uno studio di alto livello.</w:t>
      </w:r>
    </w:p>
    <w:p w:rsidR="009C2D76" w:rsidRDefault="009C2D76" w:rsidP="00EF08BA">
      <w:r>
        <w:t xml:space="preserve">Le classi più importanti all’interno di questa architettura sono </w:t>
      </w:r>
      <w:proofErr w:type="spellStart"/>
      <w:r>
        <w:t>ConsentManager</w:t>
      </w:r>
      <w:proofErr w:type="spellEnd"/>
      <w:r>
        <w:t>, che realizza il gestore di permessi previsto in 4.2, e le due tipologie di permessi, anch’esse previste in fase di Analisi (4.4).</w:t>
      </w:r>
    </w:p>
    <w:p w:rsidR="009C2D76" w:rsidRPr="00EF08BA" w:rsidRDefault="009C2D76" w:rsidP="00EF08BA">
      <w:r>
        <w:t xml:space="preserve">È presente infine anche l’enumerativo </w:t>
      </w:r>
      <w:proofErr w:type="spellStart"/>
      <w:r>
        <w:t>ConsentStatus</w:t>
      </w:r>
      <w:proofErr w:type="spellEnd"/>
      <w:r>
        <w:t xml:space="preserve">, attraverso il quale si rappresentano gli </w:t>
      </w:r>
      <w:r w:rsidR="00420A91">
        <w:t>stati del rapporto fra un utente ed un servizio generici.</w:t>
      </w:r>
    </w:p>
    <w:p w:rsidR="00DB1D37" w:rsidRDefault="00DB1D37" w:rsidP="00DB1D37">
      <w:pPr>
        <w:pStyle w:val="Heading3"/>
      </w:pPr>
      <w:bookmarkStart w:id="36" w:name="_Toc466904561"/>
      <w:r>
        <w:t xml:space="preserve">5.6.1 </w:t>
      </w:r>
      <w:proofErr w:type="spellStart"/>
      <w:r>
        <w:t>ConsentManager</w:t>
      </w:r>
      <w:proofErr w:type="spellEnd"/>
      <w:r>
        <w:t xml:space="preserve">, </w:t>
      </w:r>
      <w:proofErr w:type="spellStart"/>
      <w:r>
        <w:t>ConsentStatus</w:t>
      </w:r>
      <w:bookmarkEnd w:id="36"/>
      <w:proofErr w:type="spellEnd"/>
    </w:p>
    <w:p w:rsidR="00DB1D37" w:rsidRDefault="00DB1D37" w:rsidP="00DB1D37">
      <w:pPr>
        <w:keepNext/>
        <w:jc w:val="center"/>
      </w:pPr>
      <w:r>
        <w:rPr>
          <w:noProof/>
        </w:rPr>
        <w:drawing>
          <wp:inline distT="0" distB="0" distL="0" distR="0">
            <wp:extent cx="5256530" cy="2553030"/>
            <wp:effectExtent l="0" t="0" r="1270" b="0"/>
            <wp:docPr id="7" name="Picture 7" descr="C:\Users\Giada\AppData\Local\Microsoft\Windows\INetCacheContent.Word\Aut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uth-C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6530" cy="2553030"/>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sidR="00A30E21">
        <w:rPr>
          <w:noProof/>
        </w:rPr>
        <w:t>7</w:t>
      </w:r>
      <w:r w:rsidR="009509B6">
        <w:rPr>
          <w:noProof/>
        </w:rPr>
        <w:fldChar w:fldCharType="end"/>
      </w:r>
    </w:p>
    <w:p w:rsidR="00B14469" w:rsidRDefault="00996C70" w:rsidP="00996C70">
      <w:r>
        <w:lastRenderedPageBreak/>
        <w:t xml:space="preserve">La classe </w:t>
      </w:r>
      <w:proofErr w:type="spellStart"/>
      <w:r>
        <w:t>ConsentManager</w:t>
      </w:r>
      <w:proofErr w:type="spellEnd"/>
      <w:r>
        <w:t xml:space="preserve"> si occupa dell’erogazione, in caso di richiesta legittima, di vari tipi di permessi ai servizi che ne fanno richiesta.</w:t>
      </w:r>
      <w:r w:rsidR="00F26066">
        <w:t xml:space="preserve"> </w:t>
      </w:r>
      <w:r w:rsidR="00B14469">
        <w:t>Poiché il suo scopo è quello di garantire il rispetto di un determinato protocollo di assegnazione dei permessi, essa è prima di tutto una classe implementativa e per questo motivo non è previsto alcun tipo di astrazione (ad esempio tramite interfaccia).</w:t>
      </w:r>
    </w:p>
    <w:p w:rsidR="00B14469" w:rsidRDefault="00B14469" w:rsidP="00996C70">
      <w:r>
        <w:t xml:space="preserve">Si potrebbe considerare di rendere la classe </w:t>
      </w:r>
      <w:proofErr w:type="spellStart"/>
      <w:r>
        <w:t>final</w:t>
      </w:r>
      <w:proofErr w:type="spellEnd"/>
      <w:r>
        <w:t>, per impedire estensioni o ridefinizioni del comportamento. Le motivazio</w:t>
      </w:r>
      <w:r w:rsidR="00A341B2">
        <w:t>ni a supporto di questa scelta risiedono nella garanzia di una maggiore sicurezza. Tuttavia, nel complesso ciò avrebbe portato ad una eccessiva rigidità del codice, impedendo aggiornamenti del protocollo anche in casi di legittima necessità.</w:t>
      </w:r>
    </w:p>
    <w:p w:rsidR="00996C70" w:rsidRDefault="00F26066" w:rsidP="00996C70">
      <w:r w:rsidRPr="00B14469">
        <w:t>Per la sua implementazione, ho cercato di fare in modo che essa realizzasse un servi</w:t>
      </w:r>
      <w:r>
        <w:t>zio</w:t>
      </w:r>
      <w:r w:rsidR="00785511">
        <w:t xml:space="preserve"> il più possibile</w:t>
      </w:r>
      <w:r>
        <w:t xml:space="preserve"> indipendente dal resto dell’architettura</w:t>
      </w:r>
      <w:r w:rsidR="00785511">
        <w:t xml:space="preserve"> circostante.</w:t>
      </w:r>
      <w:r w:rsidR="00B14469">
        <w:t xml:space="preserve"> Pertanto,</w:t>
      </w:r>
      <w:r w:rsidR="00A341B2">
        <w:t xml:space="preserve"> la classe </w:t>
      </w:r>
      <w:proofErr w:type="spellStart"/>
      <w:r w:rsidR="00A341B2">
        <w:t>ConsentManager</w:t>
      </w:r>
      <w:proofErr w:type="spellEnd"/>
      <w:r w:rsidR="00A341B2">
        <w:t xml:space="preserve"> non mantiene alcuno stato interno, presenta costruttore privato e non ha dipendenze rilevanti. Inoltre, p</w:t>
      </w:r>
      <w:r w:rsidR="00996C70">
        <w:t xml:space="preserve">oiché la procedura di verifica dei requisiti </w:t>
      </w:r>
      <w:r w:rsidR="00670EE9">
        <w:t xml:space="preserve">è costante e indipendente dai parametri di ingresso, ogni metodo è stato realizzato come </w:t>
      </w:r>
      <w:proofErr w:type="spellStart"/>
      <w:r w:rsidR="00670EE9">
        <w:t>static</w:t>
      </w:r>
      <w:proofErr w:type="spellEnd"/>
      <w:r w:rsidR="00670EE9">
        <w:t xml:space="preserve">. </w:t>
      </w:r>
      <w:r w:rsidR="00BD3D8F">
        <w:t xml:space="preserve">È </w:t>
      </w:r>
    </w:p>
    <w:p w:rsidR="00E605D4" w:rsidRPr="00996C70" w:rsidRDefault="00E605D4" w:rsidP="00996C70">
      <w:r>
        <w:t xml:space="preserve">I tipi di </w:t>
      </w:r>
      <w:proofErr w:type="spellStart"/>
      <w:r>
        <w:t>Consent</w:t>
      </w:r>
      <w:proofErr w:type="spellEnd"/>
      <w:r>
        <w:t xml:space="preserve"> erogati dalla classe </w:t>
      </w:r>
      <w:proofErr w:type="spellStart"/>
      <w:r>
        <w:t>ConsentManager</w:t>
      </w:r>
      <w:proofErr w:type="spellEnd"/>
      <w:r>
        <w:t xml:space="preserve"> sono </w:t>
      </w:r>
      <w:proofErr w:type="spellStart"/>
      <w:r w:rsidR="00BD3D8F">
        <w:t>ServiceConsent</w:t>
      </w:r>
      <w:proofErr w:type="spellEnd"/>
      <w:r w:rsidR="00BD3D8F">
        <w:t xml:space="preserve"> e le classi “figlie” </w:t>
      </w:r>
      <w:proofErr w:type="spellStart"/>
      <w:r w:rsidR="00BD3D8F">
        <w:t>InputDataConsent</w:t>
      </w:r>
      <w:proofErr w:type="spellEnd"/>
      <w:r w:rsidR="00BD3D8F">
        <w:t xml:space="preserve">, </w:t>
      </w:r>
      <w:proofErr w:type="spellStart"/>
      <w:r w:rsidR="00BD3D8F">
        <w:t>OutputDataConsent</w:t>
      </w:r>
      <w:proofErr w:type="spellEnd"/>
      <w:r w:rsidR="00BD3D8F">
        <w:t xml:space="preserve">, ognuno con un metodo dedicato. È presente anche la procedura </w:t>
      </w:r>
      <w:proofErr w:type="spellStart"/>
      <w:r w:rsidR="00BD3D8F" w:rsidRPr="00BD3D8F">
        <w:t>changeServiceConsentStatusForService</w:t>
      </w:r>
      <w:proofErr w:type="spellEnd"/>
      <w:r w:rsidR="00BD3D8F">
        <w:t xml:space="preserve"> </w:t>
      </w:r>
      <w:r w:rsidR="00BD3D8F" w:rsidRPr="00BD3D8F">
        <w:t>(</w:t>
      </w:r>
      <w:proofErr w:type="spellStart"/>
      <w:r w:rsidR="00BD3D8F" w:rsidRPr="00BD3D8F">
        <w:t>IUser</w:t>
      </w:r>
      <w:proofErr w:type="spellEnd"/>
      <w:r w:rsidR="00BD3D8F" w:rsidRPr="00BD3D8F">
        <w:t xml:space="preserve"> user, </w:t>
      </w:r>
      <w:proofErr w:type="spellStart"/>
      <w:r w:rsidR="00BD3D8F" w:rsidRPr="00BD3D8F">
        <w:t>IService</w:t>
      </w:r>
      <w:proofErr w:type="spellEnd"/>
      <w:r w:rsidR="00BD3D8F" w:rsidRPr="00BD3D8F">
        <w:t xml:space="preserve"> service, </w:t>
      </w:r>
      <w:proofErr w:type="spellStart"/>
      <w:r w:rsidR="00BD3D8F" w:rsidRPr="00BD3D8F">
        <w:t>ConsentStatus</w:t>
      </w:r>
      <w:proofErr w:type="spellEnd"/>
      <w:r w:rsidR="00BD3D8F" w:rsidRPr="00BD3D8F">
        <w:t xml:space="preserve"> </w:t>
      </w:r>
      <w:proofErr w:type="spellStart"/>
      <w:r w:rsidR="00BD3D8F" w:rsidRPr="00BD3D8F">
        <w:t>newStatus</w:t>
      </w:r>
      <w:proofErr w:type="spellEnd"/>
      <w:r w:rsidR="00BD3D8F" w:rsidRPr="00BD3D8F">
        <w:t>)</w:t>
      </w:r>
      <w:r w:rsidR="00BD3D8F">
        <w:t xml:space="preserve">, che permette all’utente di cambiare lo stato del Service </w:t>
      </w:r>
      <w:proofErr w:type="spellStart"/>
      <w:r w:rsidR="00BD3D8F">
        <w:t>Consent</w:t>
      </w:r>
      <w:proofErr w:type="spellEnd"/>
      <w:r w:rsidR="00BD3D8F">
        <w:t xml:space="preserve"> correntemente attivo o disabilitato, secondo quanto previsto dalle specifiche di </w:t>
      </w:r>
      <w:proofErr w:type="spellStart"/>
      <w:r w:rsidR="00BD3D8F">
        <w:t>MyData</w:t>
      </w:r>
      <w:proofErr w:type="spellEnd"/>
      <w:r w:rsidR="00BD3D8F">
        <w:t xml:space="preserve"> e successivamente in fase di Analisi (sez. 4.4). </w:t>
      </w:r>
    </w:p>
    <w:p w:rsidR="00DB1D37" w:rsidRDefault="00DB1D37" w:rsidP="006A1EEE">
      <w:pPr>
        <w:pStyle w:val="Heading3"/>
      </w:pPr>
      <w:bookmarkStart w:id="37" w:name="_Toc466904562"/>
      <w:bookmarkStart w:id="38" w:name="_Ref466909682"/>
      <w:r>
        <w:lastRenderedPageBreak/>
        <w:t xml:space="preserve">5.6.2 </w:t>
      </w:r>
      <w:proofErr w:type="spellStart"/>
      <w:r>
        <w:t>ServiceConsent</w:t>
      </w:r>
      <w:proofErr w:type="spellEnd"/>
      <w:r w:rsidR="006A1EEE">
        <w:t xml:space="preserve">, </w:t>
      </w:r>
      <w:proofErr w:type="spellStart"/>
      <w:r w:rsidR="006A1EEE">
        <w:t>DataConsent</w:t>
      </w:r>
      <w:bookmarkEnd w:id="37"/>
      <w:bookmarkEnd w:id="38"/>
      <w:proofErr w:type="spellEnd"/>
    </w:p>
    <w:p w:rsidR="006A1EEE" w:rsidRDefault="006A1EEE" w:rsidP="006A1EEE">
      <w:pPr>
        <w:keepNext/>
        <w:jc w:val="center"/>
      </w:pPr>
      <w:r>
        <w:rPr>
          <w:noProof/>
        </w:rPr>
        <w:drawing>
          <wp:inline distT="0" distB="0" distL="0" distR="0">
            <wp:extent cx="5256530" cy="3537793"/>
            <wp:effectExtent l="0" t="0" r="1270" b="5715"/>
            <wp:docPr id="8" name="Picture 8" descr="C:\Users\Giada\AppData\Local\Microsoft\Windows\INetCacheContent.Word\Auth-Cons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da\AppData\Local\Microsoft\Windows\INetCacheContent.Word\Auth-Consent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6530" cy="3537793"/>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sidR="00A30E21">
        <w:rPr>
          <w:noProof/>
        </w:rPr>
        <w:t>8</w:t>
      </w:r>
      <w:r w:rsidR="009509B6">
        <w:rPr>
          <w:noProof/>
        </w:rPr>
        <w:fldChar w:fldCharType="end"/>
      </w:r>
    </w:p>
    <w:p w:rsidR="00A20DE1" w:rsidRDefault="000A1629" w:rsidP="00B42F5C">
      <w:r>
        <w:t>I permessi utilizzati all’intern</w:t>
      </w:r>
      <w:r w:rsidR="00655CAC">
        <w:t>o del gestore di dati personali</w:t>
      </w:r>
      <w:r>
        <w:t xml:space="preserve"> ed erogati dalla classe </w:t>
      </w:r>
      <w:proofErr w:type="spellStart"/>
      <w:r>
        <w:t>ConsentManager</w:t>
      </w:r>
      <w:proofErr w:type="spellEnd"/>
      <w:r>
        <w:t xml:space="preserve"> sono istanze delle classi </w:t>
      </w:r>
      <w:proofErr w:type="spellStart"/>
      <w:r>
        <w:t>ServiceConsent</w:t>
      </w:r>
      <w:proofErr w:type="spellEnd"/>
      <w:r>
        <w:t xml:space="preserve">, </w:t>
      </w:r>
      <w:proofErr w:type="spellStart"/>
      <w:r>
        <w:t>InputDataConsent</w:t>
      </w:r>
      <w:proofErr w:type="spellEnd"/>
      <w:r>
        <w:t xml:space="preserve"> e </w:t>
      </w:r>
      <w:proofErr w:type="spellStart"/>
      <w:r>
        <w:t>OutputDataConsent</w:t>
      </w:r>
      <w:proofErr w:type="spellEnd"/>
      <w:r>
        <w:t xml:space="preserve">. Come è possibile osservare dal diagramma UML in figura, </w:t>
      </w:r>
      <w:proofErr w:type="spellStart"/>
      <w:r w:rsidR="00655CAC">
        <w:t>InputDataConsent</w:t>
      </w:r>
      <w:proofErr w:type="spellEnd"/>
      <w:r w:rsidR="00655CAC">
        <w:t xml:space="preserve"> e </w:t>
      </w:r>
      <w:proofErr w:type="spellStart"/>
      <w:r w:rsidR="00655CAC">
        <w:t>OutputDataConsent</w:t>
      </w:r>
      <w:proofErr w:type="spellEnd"/>
      <w:r w:rsidR="00655CAC">
        <w:t xml:space="preserve"> estendono la classe </w:t>
      </w:r>
      <w:proofErr w:type="spellStart"/>
      <w:r w:rsidR="00655CAC">
        <w:t>DataConsent</w:t>
      </w:r>
      <w:proofErr w:type="spellEnd"/>
      <w:r w:rsidR="00655CAC">
        <w:t xml:space="preserve">: la loro funzione è principalmente semantica, in quanto non aggiungono logica al programma ma descrivono il verso del flusso di dati che si crea con il Personal Data </w:t>
      </w:r>
      <w:proofErr w:type="spellStart"/>
      <w:r w:rsidR="00655CAC">
        <w:t>Vault</w:t>
      </w:r>
      <w:proofErr w:type="spellEnd"/>
      <w:r w:rsidR="00655CAC">
        <w:t xml:space="preserve">. Pertanto, descriverò principalmente le caratteristiche delle classi </w:t>
      </w:r>
      <w:proofErr w:type="spellStart"/>
      <w:r w:rsidR="00655CAC">
        <w:t>ServiceConsent</w:t>
      </w:r>
      <w:proofErr w:type="spellEnd"/>
      <w:r w:rsidR="00655CAC">
        <w:t xml:space="preserve"> e </w:t>
      </w:r>
      <w:proofErr w:type="spellStart"/>
      <w:r w:rsidR="00655CAC">
        <w:t>DataConsent</w:t>
      </w:r>
      <w:proofErr w:type="spellEnd"/>
      <w:r w:rsidR="00C85BA0">
        <w:t xml:space="preserve">, che costituiscono il </w:t>
      </w:r>
      <w:r w:rsidR="00604932">
        <w:t xml:space="preserve">punto focale della realizzazione dei permessi descritti in </w:t>
      </w:r>
      <w:proofErr w:type="spellStart"/>
      <w:r w:rsidR="00604932">
        <w:t>MyData</w:t>
      </w:r>
      <w:proofErr w:type="spellEnd"/>
      <w:r w:rsidR="00604932">
        <w:t>.</w:t>
      </w:r>
    </w:p>
    <w:p w:rsidR="00A20DE1" w:rsidRDefault="00A20DE1" w:rsidP="00B42F5C">
      <w:r>
        <w:t xml:space="preserve">Nonostante </w:t>
      </w:r>
      <w:r w:rsidR="00E10DF1">
        <w:t>la differenza di realizzazione e di utilizzo</w:t>
      </w:r>
      <w:r>
        <w:t>,</w:t>
      </w:r>
      <w:r w:rsidR="00E10DF1">
        <w:t xml:space="preserve"> entrambe le classi</w:t>
      </w:r>
      <w:r w:rsidR="00C85BA0">
        <w:t xml:space="preserve"> </w:t>
      </w:r>
      <w:proofErr w:type="spellStart"/>
      <w:r w:rsidR="00C85BA0">
        <w:t>ServiceConsent</w:t>
      </w:r>
      <w:proofErr w:type="spellEnd"/>
      <w:r w:rsidR="00C85BA0">
        <w:t xml:space="preserve"> e </w:t>
      </w:r>
      <w:proofErr w:type="spellStart"/>
      <w:r w:rsidR="00C85BA0">
        <w:t>DataConsent</w:t>
      </w:r>
      <w:proofErr w:type="spellEnd"/>
      <w:r>
        <w:t xml:space="preserve"> impl</w:t>
      </w:r>
      <w:r w:rsidR="00E10DF1">
        <w:t>ementano una interfaccia comune</w:t>
      </w:r>
      <w:r>
        <w:t xml:space="preserve"> </w:t>
      </w:r>
      <w:proofErr w:type="spellStart"/>
      <w:r>
        <w:t>IConsent</w:t>
      </w:r>
      <w:proofErr w:type="spellEnd"/>
      <w:r w:rsidR="00E10DF1">
        <w:t>. Questa</w:t>
      </w:r>
      <w:r>
        <w:t xml:space="preserve"> è una interfaccia “marker”</w:t>
      </w:r>
      <w:r w:rsidR="00E10DF1">
        <w:t xml:space="preserve"> necessaria per esprimere una somiglianza a livello semantico, in quanto entrambe le classi descrivono un tipo di autorizzazione.</w:t>
      </w:r>
    </w:p>
    <w:p w:rsidR="00E10DF1" w:rsidRDefault="00E10DF1" w:rsidP="00B42F5C">
      <w:r>
        <w:t xml:space="preserve">Dal diagramma UML è possibile dedurre il ruolo della classe Account rispetto ai due tipi di </w:t>
      </w:r>
      <w:proofErr w:type="spellStart"/>
      <w:r>
        <w:t>Consent</w:t>
      </w:r>
      <w:proofErr w:type="spellEnd"/>
      <w:r>
        <w:t xml:space="preserve">. Come accennato infatti in 5.2.2, essa mantiene al suo interno una mappa di corrispondenze fra </w:t>
      </w:r>
      <w:proofErr w:type="spellStart"/>
      <w:r>
        <w:t>ServiceConsent</w:t>
      </w:r>
      <w:proofErr w:type="spellEnd"/>
      <w:r>
        <w:t xml:space="preserve"> e liste di </w:t>
      </w:r>
      <w:proofErr w:type="spellStart"/>
      <w:r>
        <w:t>DataConsent</w:t>
      </w:r>
      <w:proofErr w:type="spellEnd"/>
      <w:r w:rsidR="00604932">
        <w:t>.</w:t>
      </w:r>
    </w:p>
    <w:p w:rsidR="00E10DF1" w:rsidRDefault="00E10DF1" w:rsidP="00604932">
      <w:r>
        <w:lastRenderedPageBreak/>
        <w:t>Nel primo caso,</w:t>
      </w:r>
      <w:r w:rsidR="00604932">
        <w:t xml:space="preserve"> la relazione è rappresentata mediante il simbolo “rombo nero”, che qualifica la classe Account come “contenitore” di istanze della classe </w:t>
      </w:r>
      <w:proofErr w:type="spellStart"/>
      <w:r w:rsidR="00604932">
        <w:t>ServiceConsent</w:t>
      </w:r>
      <w:proofErr w:type="spellEnd"/>
      <w:r w:rsidR="00604932">
        <w:t>. In particolare, il rombo nero descrive un tipo di relazione molto stretta fra le due parti, e la scelta è dovuta a</w:t>
      </w:r>
      <w:r>
        <w:t xml:space="preserve">lle specifiche di </w:t>
      </w:r>
      <w:proofErr w:type="spellStart"/>
      <w:r>
        <w:t>MyData</w:t>
      </w:r>
      <w:proofErr w:type="spellEnd"/>
      <w:r w:rsidR="00604932">
        <w:t>,</w:t>
      </w:r>
      <w:r>
        <w:t xml:space="preserve"> secondo cui non è possibile registrarsi presso un servizio senza ottenere un </w:t>
      </w:r>
      <w:proofErr w:type="spellStart"/>
      <w:r>
        <w:t>Consent</w:t>
      </w:r>
      <w:proofErr w:type="spellEnd"/>
      <w:r>
        <w:t xml:space="preserve">. </w:t>
      </w:r>
      <w:r w:rsidR="00604932">
        <w:t xml:space="preserve">Ciò </w:t>
      </w:r>
      <w:r>
        <w:t xml:space="preserve">è stato implementato mediante l’emissione di un </w:t>
      </w:r>
      <w:proofErr w:type="spellStart"/>
      <w:r>
        <w:t>ServiceConsent</w:t>
      </w:r>
      <w:proofErr w:type="spellEnd"/>
      <w:r>
        <w:t xml:space="preserve"> prima della creazione effettiva dell’account</w:t>
      </w:r>
      <w:r w:rsidR="004A7CD3">
        <w:t>, e il legame fra i due avviene tramite il</w:t>
      </w:r>
      <w:r w:rsidR="00604932">
        <w:t xml:space="preserve"> passaggio di questo permesso a</w:t>
      </w:r>
      <w:r w:rsidR="004A7CD3">
        <w:t>l costruttore della classe Account.</w:t>
      </w:r>
    </w:p>
    <w:p w:rsidR="00DB4666" w:rsidRDefault="00B42F5C" w:rsidP="00B42F5C">
      <w:r>
        <w:t>La class</w:t>
      </w:r>
      <w:r w:rsidR="00A20DE1">
        <w:t xml:space="preserve">e </w:t>
      </w:r>
      <w:proofErr w:type="spellStart"/>
      <w:r w:rsidR="00A20DE1">
        <w:t>ServiceConsent</w:t>
      </w:r>
      <w:proofErr w:type="spellEnd"/>
      <w:r w:rsidR="00A20DE1">
        <w:t xml:space="preserve"> realizza il primo – e il più rilevante – dei due tipi di permessi previsti per il gestore di dati personali. Al suo interno troviamo i token firmati da utente e servizio per la mutu</w:t>
      </w:r>
      <w:r w:rsidR="00FD6411">
        <w:t>a autenticazione, insieme a</w:t>
      </w:r>
      <w:r w:rsidR="00A20DE1">
        <w:t xml:space="preserve">i rispettivi riferimenti; vi sono inoltre anche alcuni campi per l’identificazione del </w:t>
      </w:r>
      <w:proofErr w:type="spellStart"/>
      <w:r w:rsidR="00A20DE1">
        <w:t>Consent</w:t>
      </w:r>
      <w:proofErr w:type="spellEnd"/>
      <w:r w:rsidR="00A20DE1">
        <w:t xml:space="preserve"> stesso e</w:t>
      </w:r>
      <w:r w:rsidR="00DB4666">
        <w:t xml:space="preserve"> la sua collocazione temporale.</w:t>
      </w:r>
    </w:p>
    <w:p w:rsidR="00DB4666" w:rsidRDefault="00DB4666" w:rsidP="00B22642">
      <w:r>
        <w:t xml:space="preserve">Per quanto riguarda invece i </w:t>
      </w:r>
      <w:proofErr w:type="spellStart"/>
      <w:r>
        <w:t>DataConsent</w:t>
      </w:r>
      <w:proofErr w:type="spellEnd"/>
      <w:r>
        <w:t xml:space="preserve">, essi si comportano come access token per il Personal Data </w:t>
      </w:r>
      <w:proofErr w:type="spellStart"/>
      <w:r>
        <w:t>Vault</w:t>
      </w:r>
      <w:proofErr w:type="spellEnd"/>
      <w:r>
        <w:t xml:space="preserve"> validi una sola volta e conservati come storico dell’accesso ai dati personali. A tal fine, un </w:t>
      </w:r>
      <w:proofErr w:type="spellStart"/>
      <w:r>
        <w:t>DataConsent</w:t>
      </w:r>
      <w:proofErr w:type="spellEnd"/>
      <w:r>
        <w:t xml:space="preserve"> contiene al suo interno il Set&lt;</w:t>
      </w:r>
      <w:proofErr w:type="spellStart"/>
      <w:r>
        <w:t>String</w:t>
      </w:r>
      <w:proofErr w:type="spellEnd"/>
      <w:r>
        <w:t>&gt; che contiene l’elenco dei tipi di dato a cui il servizio beneficiario può accedere</w:t>
      </w:r>
      <w:r w:rsidR="00B22642">
        <w:t xml:space="preserve">. Per impedire accessi illegittimi, viene sempre controllata la corrispondenza fra i tipi di dato dichiarati in fase di registrazione e quelli richiesti alla creazione del </w:t>
      </w:r>
      <w:proofErr w:type="spellStart"/>
      <w:r w:rsidR="00B22642">
        <w:t>DataConsent</w:t>
      </w:r>
      <w:proofErr w:type="spellEnd"/>
      <w:r w:rsidR="00B22642">
        <w:t>. P</w:t>
      </w:r>
      <w:r>
        <w:t xml:space="preserve">oiché il servizio non può interrogare direttamente il Personal Data </w:t>
      </w:r>
      <w:proofErr w:type="spellStart"/>
      <w:r>
        <w:t>Vault</w:t>
      </w:r>
      <w:proofErr w:type="spellEnd"/>
      <w:r>
        <w:t>, gli scambi avvengono in base a quanto dichiarato all’interno del</w:t>
      </w:r>
      <w:r w:rsidR="00B22642">
        <w:t xml:space="preserve"> Set&lt;</w:t>
      </w:r>
      <w:proofErr w:type="spellStart"/>
      <w:r w:rsidR="00B22642">
        <w:t>String</w:t>
      </w:r>
      <w:proofErr w:type="spellEnd"/>
      <w:r w:rsidR="00B22642">
        <w:t>&gt;.</w:t>
      </w:r>
    </w:p>
    <w:p w:rsidR="00B42F5C" w:rsidRPr="00B42F5C" w:rsidRDefault="00B22642" w:rsidP="00B42F5C">
      <w:r>
        <w:t>Infine, si evidenzia da</w:t>
      </w:r>
      <w:r w:rsidR="00DB4666">
        <w:t>l</w:t>
      </w:r>
      <w:r w:rsidR="00A20DE1">
        <w:t xml:space="preserve"> diagramma UML </w:t>
      </w:r>
      <w:r w:rsidR="00DB4666">
        <w:t>che</w:t>
      </w:r>
      <w:r w:rsidR="00A20DE1">
        <w:t xml:space="preserve"> </w:t>
      </w:r>
      <w:r w:rsidR="00DB4666">
        <w:t xml:space="preserve">ogni </w:t>
      </w:r>
      <w:proofErr w:type="spellStart"/>
      <w:r w:rsidR="00DB4666">
        <w:t>DataConsent</w:t>
      </w:r>
      <w:proofErr w:type="spellEnd"/>
      <w:r w:rsidR="00DB4666">
        <w:t xml:space="preserve"> mantiene un riferimento al </w:t>
      </w:r>
      <w:proofErr w:type="spellStart"/>
      <w:r w:rsidR="00DB4666">
        <w:t>ServiceConsent</w:t>
      </w:r>
      <w:proofErr w:type="spellEnd"/>
      <w:r w:rsidR="00DB4666">
        <w:t xml:space="preserve"> attivo al momento della sua emissione</w:t>
      </w:r>
      <w:r>
        <w:t xml:space="preserve">, al fine di avere una migliore tracciabilità delle transazioni di dati, e che il costruttore della stessa classe ha visibilità package - </w:t>
      </w:r>
      <w:proofErr w:type="spellStart"/>
      <w:r>
        <w:t>protected</w:t>
      </w:r>
      <w:proofErr w:type="spellEnd"/>
      <w:r>
        <w:t xml:space="preserve"> in modo da obbligare l’uso delle sottoclassi alle classi esterne.</w:t>
      </w:r>
    </w:p>
    <w:p w:rsidR="00BC3D2E" w:rsidRDefault="00BC3D2E" w:rsidP="006A1EEE">
      <w:pPr>
        <w:pStyle w:val="Heading2"/>
      </w:pPr>
      <w:bookmarkStart w:id="39" w:name="_Toc466904563"/>
      <w:r>
        <w:t>rappresentazione dei dati</w:t>
      </w:r>
    </w:p>
    <w:p w:rsidR="00BC3D2E" w:rsidRDefault="00BC3D2E" w:rsidP="00BC3D2E">
      <w:r>
        <w:t xml:space="preserve">Si presenta a questo punto la problematica di rappresentazione dei dati, non solo all’interno del Personal Data Storage ma anche durante le transazioni fra Source e </w:t>
      </w:r>
      <w:proofErr w:type="spellStart"/>
      <w:r>
        <w:t>Sink</w:t>
      </w:r>
      <w:proofErr w:type="spellEnd"/>
      <w:r>
        <w:t>, e all’interno del servizio stesso.</w:t>
      </w:r>
    </w:p>
    <w:p w:rsidR="00BC3D2E" w:rsidRDefault="00BC3D2E" w:rsidP="00BC3D2E">
      <w:r>
        <w:t xml:space="preserve">La soluzione implementata all’interno del </w:t>
      </w:r>
      <w:proofErr w:type="spellStart"/>
      <w:r>
        <w:t>Mobility</w:t>
      </w:r>
      <w:proofErr w:type="spellEnd"/>
      <w:r>
        <w:t xml:space="preserve"> </w:t>
      </w:r>
      <w:proofErr w:type="spellStart"/>
      <w:r>
        <w:t>Profile</w:t>
      </w:r>
      <w:proofErr w:type="spellEnd"/>
      <w:r>
        <w:t xml:space="preserve"> prevede l’uso di </w:t>
      </w:r>
      <w:r w:rsidR="00183EDC">
        <w:t xml:space="preserve">oggetti </w:t>
      </w:r>
      <w:proofErr w:type="spellStart"/>
      <w:r>
        <w:t>JsonArray</w:t>
      </w:r>
      <w:proofErr w:type="spellEnd"/>
      <w:r w:rsidR="00183EDC">
        <w:t xml:space="preserve"> e </w:t>
      </w:r>
      <w:proofErr w:type="spellStart"/>
      <w:r w:rsidR="00183EDC">
        <w:t>GeoJSON</w:t>
      </w:r>
      <w:proofErr w:type="spellEnd"/>
      <w:r w:rsidR="00183EDC">
        <w:t xml:space="preserve">, come indicato nella documentazione </w:t>
      </w:r>
      <w:r>
        <w:t xml:space="preserve"> </w:t>
      </w:r>
      <w:r w:rsidR="00183EDC">
        <w:t>\</w:t>
      </w:r>
      <w:proofErr w:type="spellStart"/>
      <w:r w:rsidR="00183EDC">
        <w:t>cite</w:t>
      </w:r>
      <w:proofErr w:type="spellEnd"/>
      <w:r w:rsidR="00183EDC">
        <w:t>{</w:t>
      </w:r>
      <w:r w:rsidR="00183EDC" w:rsidRPr="00183EDC">
        <w:t xml:space="preserve"> </w:t>
      </w:r>
      <w:proofErr w:type="spellStart"/>
      <w:r w:rsidR="00183EDC" w:rsidRPr="00183EDC">
        <w:lastRenderedPageBreak/>
        <w:t>githubmobilityprofilespecification</w:t>
      </w:r>
      <w:proofErr w:type="spellEnd"/>
      <w:r w:rsidR="00183EDC">
        <w:t xml:space="preserve">}, tuttavia questa implementazione differisce dal caso di studio poiché il servizio che utilizza i dati per calcolare il prossimo viaggio più probabile e il Personal Data Storage si trovano all’interno della stessa </w:t>
      </w:r>
      <w:proofErr w:type="spellStart"/>
      <w:r w:rsidR="00183EDC">
        <w:t>app</w:t>
      </w:r>
      <w:proofErr w:type="spellEnd"/>
      <w:r w:rsidR="00183EDC">
        <w:t xml:space="preserve">. Come anticipato in 2.1.1 infatti, l’applicazione </w:t>
      </w:r>
      <w:proofErr w:type="spellStart"/>
      <w:r w:rsidR="00183EDC">
        <w:t>Journey</w:t>
      </w:r>
      <w:proofErr w:type="spellEnd"/>
      <w:r w:rsidR="00183EDC">
        <w:t xml:space="preserve"> Planner è solamente un </w:t>
      </w:r>
      <w:proofErr w:type="spellStart"/>
      <w:r w:rsidR="00183EDC">
        <w:t>frontend</w:t>
      </w:r>
      <w:proofErr w:type="spellEnd"/>
      <w:r w:rsidR="00183EDC">
        <w:t xml:space="preserve"> che non esegue alcuna computazione ma presenta un risultato già pronto.</w:t>
      </w:r>
    </w:p>
    <w:p w:rsidR="0036731E" w:rsidRDefault="00183EDC" w:rsidP="00BC3D2E">
      <w:r>
        <w:t xml:space="preserve">All’interno del gestore di dati personali in oggetto si vuole invece permettere un flusso di dati fra Source e </w:t>
      </w:r>
      <w:proofErr w:type="spellStart"/>
      <w:r>
        <w:t>Sink</w:t>
      </w:r>
      <w:proofErr w:type="spellEnd"/>
      <w:r>
        <w:t xml:space="preserve"> generici in modo che la computazione avvenga presso il servizio che richiede i dati</w:t>
      </w:r>
      <w:r w:rsidR="0036731E">
        <w:t>, non localmente al Personal Data Storage.</w:t>
      </w:r>
    </w:p>
    <w:p w:rsidR="0036731E" w:rsidRPr="00BC3D2E" w:rsidRDefault="0036731E" w:rsidP="00BC3D2E">
      <w:r>
        <w:t>In fase di Analisi (sezione 4.6) il problema è stato preso in considerazione, e si è proposta come soluzione l’utilizzo del formato JSON per la comunicazione e il trasferimento di dati.</w:t>
      </w:r>
    </w:p>
    <w:p w:rsidR="00BC3D2E" w:rsidRDefault="00BC3D2E" w:rsidP="00BC3D2E">
      <w:r>
        <w:t xml:space="preserve">In questo senso, come prima cosa ho studiato i componenti Java disponibili nell’architettura per realizzare la conversione in stringhe JSON: </w:t>
      </w:r>
      <w:proofErr w:type="spellStart"/>
      <w:r>
        <w:t>JsonArray</w:t>
      </w:r>
      <w:proofErr w:type="spellEnd"/>
      <w:r>
        <w:t xml:space="preserve">, </w:t>
      </w:r>
      <w:proofErr w:type="spellStart"/>
      <w:r>
        <w:t>JsonObject</w:t>
      </w:r>
      <w:proofErr w:type="spellEnd"/>
      <w:r>
        <w:t xml:space="preserve"> e altre sotto-interfacce di </w:t>
      </w:r>
      <w:proofErr w:type="spellStart"/>
      <w:r>
        <w:t>JsonValue</w:t>
      </w:r>
      <w:proofErr w:type="spellEnd"/>
      <w:r>
        <w:t xml:space="preserve">. Il motivo per cui ho scelto di non utilizzarli è che questi non offrono alcun metodo di utilità per la conversione da oggetto a stringa, e la trasposizione di ogni </w:t>
      </w:r>
      <w:proofErr w:type="spellStart"/>
      <w:r>
        <w:t>field</w:t>
      </w:r>
      <w:proofErr w:type="spellEnd"/>
      <w:r>
        <w:t xml:space="preserve"> va realizzata manualmente sia in serializzazione che in </w:t>
      </w:r>
      <w:proofErr w:type="spellStart"/>
      <w:r>
        <w:t>deserializzazione</w:t>
      </w:r>
      <w:proofErr w:type="spellEnd"/>
      <w:r>
        <w:t xml:space="preserve">. </w:t>
      </w:r>
      <w:hyperlink r:id="rId20" w:history="1">
        <w:r w:rsidRPr="00B6175B">
          <w:rPr>
            <w:rStyle w:val="Hyperlink"/>
          </w:rPr>
          <w:t>http://docs.oracle.com/javaee/7/api/javax/json/JsonObject.html</w:t>
        </w:r>
      </w:hyperlink>
      <w:r>
        <w:t xml:space="preserve"> Una scelta di questo tipo implicherebbe un precedente accordo fra le parti per stabilire come interpretare le stringhe inviate, e una forte dipendenza dalla particolare implementazione dei dati utilizzati.</w:t>
      </w:r>
    </w:p>
    <w:p w:rsidR="00BC3D2E" w:rsidRDefault="00BC3D2E" w:rsidP="00901995">
      <w:r w:rsidRPr="00CF0544">
        <w:t xml:space="preserve">Come seconda opzione ho considerato di utilizzare la libreria Google </w:t>
      </w:r>
      <w:proofErr w:type="spellStart"/>
      <w:r w:rsidRPr="00CF0544">
        <w:t>Gson</w:t>
      </w:r>
      <w:proofErr w:type="spellEnd"/>
      <w:r w:rsidRPr="00CF0544">
        <w:t xml:space="preserve"> </w:t>
      </w:r>
      <w:hyperlink r:id="rId21" w:history="1">
        <w:r w:rsidRPr="00CF0544">
          <w:t>https://github.com/google/gson</w:t>
        </w:r>
      </w:hyperlink>
      <w:r w:rsidRPr="00CF0544">
        <w:t xml:space="preserve"> , in quanto essa risolve i problemi incontrati </w:t>
      </w:r>
      <w:r>
        <w:t>nel corso del primo tentativo g</w:t>
      </w:r>
      <w:r w:rsidRPr="00CF0544">
        <w:t>razie ai metodi</w:t>
      </w:r>
      <w:r>
        <w:t xml:space="preserve"> </w:t>
      </w:r>
      <w:proofErr w:type="spellStart"/>
      <w:r w:rsidRPr="00CF0544">
        <w:t>gson.</w:t>
      </w:r>
      <w:r>
        <w:t>toJson</w:t>
      </w:r>
      <w:proofErr w:type="spellEnd"/>
      <w:r>
        <w:t>(</w:t>
      </w:r>
      <w:proofErr w:type="spellStart"/>
      <w:r>
        <w:t>obj</w:t>
      </w:r>
      <w:proofErr w:type="spellEnd"/>
      <w:r>
        <w:t xml:space="preserve">) per la serializzazione e </w:t>
      </w:r>
      <w:proofErr w:type="spellStart"/>
      <w:r>
        <w:t>gson.fromJson</w:t>
      </w:r>
      <w:proofErr w:type="spellEnd"/>
      <w:r>
        <w:t>(</w:t>
      </w:r>
      <w:proofErr w:type="spellStart"/>
      <w:r>
        <w:t>json</w:t>
      </w:r>
      <w:proofErr w:type="spellEnd"/>
      <w:r>
        <w:t xml:space="preserve">, </w:t>
      </w:r>
      <w:proofErr w:type="spellStart"/>
      <w:r>
        <w:t>obj.class</w:t>
      </w:r>
      <w:proofErr w:type="spellEnd"/>
      <w:r>
        <w:t xml:space="preserve">) per la </w:t>
      </w:r>
      <w:proofErr w:type="spellStart"/>
      <w:r>
        <w:t>deserializzazione</w:t>
      </w:r>
      <w:proofErr w:type="spellEnd"/>
      <w:r>
        <w:t xml:space="preserve">. Questo approccio funziona perfettamente in caso di oggetti che contengono tipi primitivi, ma mostra qualche limitazione quando si introducono oggetti di tipo generico e Collection di oggetti, siano esse di oggetti di un unico tipo o di tipi diversi. Il motivo risiede nell’implementazione della Java Virtual Machine, e in particolare nella sua caratteristica di </w:t>
      </w:r>
      <w:proofErr w:type="spellStart"/>
      <w:r>
        <w:t>Type</w:t>
      </w:r>
      <w:proofErr w:type="spellEnd"/>
      <w:r>
        <w:t xml:space="preserve"> Erasure per la quale ogni oggetto a basso livello “perde” il suo tipo particolare per diventare un Object. Questo non crea problemi in serializzazione ma in </w:t>
      </w:r>
      <w:proofErr w:type="spellStart"/>
      <w:r>
        <w:t>deserializzazione</w:t>
      </w:r>
      <w:proofErr w:type="spellEnd"/>
      <w:r>
        <w:t xml:space="preserve">, quando risulta impossibile recuperare il tipo originario dell’oggetto da deserializzare. Poiché l’utilizzo della libreria </w:t>
      </w:r>
      <w:proofErr w:type="spellStart"/>
      <w:r>
        <w:t>Gson</w:t>
      </w:r>
      <w:proofErr w:type="spellEnd"/>
      <w:r>
        <w:t xml:space="preserve"> nel contesto del </w:t>
      </w:r>
      <w:proofErr w:type="spellStart"/>
      <w:r>
        <w:t>PersonalDataVault</w:t>
      </w:r>
      <w:proofErr w:type="spellEnd"/>
      <w:r>
        <w:t xml:space="preserve"> si sarebbe collocato </w:t>
      </w:r>
      <w:r>
        <w:lastRenderedPageBreak/>
        <w:t>all’interno dei casi non completamente supportati, ho scelto di scartare anche questa seconda possibilità.</w:t>
      </w:r>
    </w:p>
    <w:p w:rsidR="00901995" w:rsidRPr="00901995" w:rsidRDefault="00901995" w:rsidP="00901995">
      <w:r w:rsidRPr="00901995">
        <w:t>Quest</w:t>
      </w:r>
      <w:r>
        <w:t>a problematica (l’</w:t>
      </w:r>
      <w:r w:rsidRPr="00901995">
        <w:t>impossibilità di prevedere con su</w:t>
      </w:r>
      <w:r>
        <w:t xml:space="preserve">fficiente precisione tutte le possibili </w:t>
      </w:r>
      <w:r w:rsidRPr="00901995">
        <w:t>situazioni legate alla rappresentazione dei dati in ogni</w:t>
      </w:r>
      <w:r>
        <w:t xml:space="preserve"> momento</w:t>
      </w:r>
      <w:r w:rsidRPr="00901995">
        <w:t>) riveste un serio aspetto di complessità e articolazione tali da assumere una rilevanza non contenibile nei limiti del presente contesto di lavoro di tesi.</w:t>
      </w:r>
    </w:p>
    <w:p w:rsidR="00901995" w:rsidRPr="00901995" w:rsidRDefault="00901995" w:rsidP="00901995">
      <w:r w:rsidRPr="00901995">
        <w:t>Necessiterebbe, viceversa, di organizzazione, mezzi e tempistiche -</w:t>
      </w:r>
      <w:r>
        <w:t xml:space="preserve"> </w:t>
      </w:r>
      <w:r w:rsidRPr="00901995">
        <w:t>oltre che conoscenze</w:t>
      </w:r>
      <w:r>
        <w:t xml:space="preserve"> </w:t>
      </w:r>
      <w:r w:rsidRPr="00901995">
        <w:t>- non immediatamente disponibili nell'attuale c</w:t>
      </w:r>
      <w:r>
        <w:t>ontesto.</w:t>
      </w:r>
    </w:p>
    <w:p w:rsidR="00901995" w:rsidRPr="00901995" w:rsidRDefault="00901995" w:rsidP="00901995">
      <w:r w:rsidRPr="00901995">
        <w:t>Si rende necessario, pertanto, ricercare una soluzione diversa, più concreta e adeguata alle attuali circostanze, più am</w:t>
      </w:r>
      <w:r>
        <w:t>missibile anche rispetto agli o</w:t>
      </w:r>
      <w:r w:rsidRPr="00901995">
        <w:t>biettivi di questo lavoro.</w:t>
      </w:r>
    </w:p>
    <w:p w:rsidR="00901995" w:rsidRPr="00901995" w:rsidRDefault="00901995" w:rsidP="00901995">
      <w:r w:rsidRPr="00901995">
        <w:t>L'ipotesi che viene proposta, che si può ritenere più accettabile</w:t>
      </w:r>
      <w:r>
        <w:t>, consiste</w:t>
      </w:r>
    </w:p>
    <w:p w:rsidR="00901995" w:rsidRPr="00CF0544" w:rsidRDefault="00901995" w:rsidP="00BC3D2E"/>
    <w:p w:rsidR="00BC3D2E" w:rsidRDefault="00BC3D2E" w:rsidP="00BC3D2E">
      <w:r>
        <w:t xml:space="preserve">La soluzione da me proposta a questo problema consiste nell’utilizzo di una struttura dati </w:t>
      </w:r>
      <w:proofErr w:type="spellStart"/>
      <w:r>
        <w:t>DataSet</w:t>
      </w:r>
      <w:proofErr w:type="spellEnd"/>
      <w:r>
        <w:t xml:space="preserve"> che permetta lo scambio di dati di qualunque tipo all’interno del sistema, purché il loro tipo sia stato preventivamente dichiarato in fase di registrazione (sezione 5.9). La classe </w:t>
      </w:r>
      <w:proofErr w:type="spellStart"/>
      <w:r>
        <w:t>DataSet</w:t>
      </w:r>
      <w:proofErr w:type="spellEnd"/>
      <w:r>
        <w:t xml:space="preserve"> è descritta in dettaglio nella sezione 5.7.</w:t>
      </w:r>
    </w:p>
    <w:p w:rsidR="00BC3D2E" w:rsidRPr="00BC3D2E" w:rsidRDefault="00BC3D2E" w:rsidP="00BC3D2E"/>
    <w:p w:rsidR="006A1EEE" w:rsidRDefault="006A1EEE" w:rsidP="00BC3D2E">
      <w:pPr>
        <w:pStyle w:val="Heading3"/>
      </w:pPr>
      <w:r>
        <w:lastRenderedPageBreak/>
        <w:t>5.7 PersonalDataVault</w:t>
      </w:r>
      <w:bookmarkEnd w:id="39"/>
    </w:p>
    <w:p w:rsidR="006A1EEE" w:rsidRDefault="006A1EEE" w:rsidP="006A1EEE">
      <w:pPr>
        <w:keepNext/>
        <w:jc w:val="center"/>
      </w:pPr>
      <w:r>
        <w:rPr>
          <w:noProof/>
        </w:rPr>
        <w:drawing>
          <wp:inline distT="0" distB="0" distL="0" distR="0">
            <wp:extent cx="5256530" cy="3755818"/>
            <wp:effectExtent l="0" t="0" r="1270" b="0"/>
            <wp:docPr id="9" name="Picture 9" descr="C:\Users\Giada\AppData\Local\Microsoft\Windows\INetCacheContent.Word\PersonalData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da\AppData\Local\Microsoft\Windows\INetCacheContent.Word\PersonalDataVaul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530" cy="3755818"/>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sidR="00A30E21">
        <w:rPr>
          <w:noProof/>
        </w:rPr>
        <w:t>9</w:t>
      </w:r>
      <w:r w:rsidR="009509B6">
        <w:rPr>
          <w:noProof/>
        </w:rPr>
        <w:fldChar w:fldCharType="end"/>
      </w:r>
    </w:p>
    <w:p w:rsidR="00186DEC" w:rsidRDefault="0036731E" w:rsidP="000C62DA">
      <w:bookmarkStart w:id="40" w:name="_Toc466904564"/>
      <w:r w:rsidRPr="0036731E">
        <w:t xml:space="preserve">In questa sezione si presenta la </w:t>
      </w:r>
      <w:r w:rsidR="00186DEC">
        <w:t xml:space="preserve">classe </w:t>
      </w:r>
      <w:proofErr w:type="spellStart"/>
      <w:r w:rsidR="00186DEC">
        <w:t>PersonalDataVault</w:t>
      </w:r>
      <w:proofErr w:type="spellEnd"/>
      <w:r w:rsidR="00186DEC">
        <w:t>,</w:t>
      </w:r>
      <w:r w:rsidRPr="0036731E">
        <w:t xml:space="preserve"> in cui vengono mantenuti i dati personali dell’utente.</w:t>
      </w:r>
      <w:r w:rsidR="00186DEC">
        <w:t xml:space="preserve"> Essa corrisponde direttamente al Personal Data Storage proposto all’interno della documentazione </w:t>
      </w:r>
      <w:proofErr w:type="spellStart"/>
      <w:r w:rsidR="00186DEC">
        <w:t>MyData</w:t>
      </w:r>
      <w:proofErr w:type="spellEnd"/>
      <w:r w:rsidR="00186DEC">
        <w:t>.</w:t>
      </w:r>
    </w:p>
    <w:p w:rsidR="0036731E" w:rsidRPr="0036731E" w:rsidRDefault="0036731E" w:rsidP="000C62DA">
      <w:r w:rsidRPr="0036731E">
        <w:t xml:space="preserve"> L’interfaccia \</w:t>
      </w:r>
      <w:proofErr w:type="spellStart"/>
      <w:r w:rsidRPr="0036731E">
        <w:t>texttt</w:t>
      </w:r>
      <w:proofErr w:type="spellEnd"/>
      <w:r w:rsidRPr="0036731E">
        <w:t>{</w:t>
      </w:r>
      <w:proofErr w:type="spellStart"/>
      <w:r w:rsidRPr="0036731E">
        <w:t>IPersonalDataVault</w:t>
      </w:r>
      <w:proofErr w:type="spellEnd"/>
      <w:r w:rsidRPr="0036731E">
        <w:t>} espone i metodi \</w:t>
      </w:r>
      <w:proofErr w:type="spellStart"/>
      <w:r w:rsidRPr="0036731E">
        <w:t>texttt</w:t>
      </w:r>
      <w:proofErr w:type="spellEnd"/>
      <w:r w:rsidRPr="0036731E">
        <w:t>{</w:t>
      </w:r>
      <w:proofErr w:type="spellStart"/>
      <w:r w:rsidRPr="0036731E">
        <w:t>getData</w:t>
      </w:r>
      <w:proofErr w:type="spellEnd"/>
      <w:r w:rsidRPr="0036731E">
        <w:t xml:space="preserve"> (Set&lt;</w:t>
      </w:r>
      <w:proofErr w:type="spellStart"/>
      <w:r w:rsidRPr="0036731E">
        <w:t>String</w:t>
      </w:r>
      <w:proofErr w:type="spellEnd"/>
      <w:r w:rsidRPr="0036731E">
        <w:t xml:space="preserve">&gt; </w:t>
      </w:r>
      <w:proofErr w:type="spellStart"/>
      <w:r w:rsidRPr="0036731E">
        <w:t>typesConst</w:t>
      </w:r>
      <w:proofErr w:type="spellEnd"/>
      <w:r w:rsidRPr="0036731E">
        <w:t>)} (che restituisce un \</w:t>
      </w:r>
      <w:proofErr w:type="spellStart"/>
      <w:r w:rsidRPr="0036731E">
        <w:t>texttt</w:t>
      </w:r>
      <w:proofErr w:type="spellEnd"/>
      <w:r w:rsidRPr="0036731E">
        <w:t>{</w:t>
      </w:r>
      <w:proofErr w:type="spellStart"/>
      <w:r w:rsidRPr="0036731E">
        <w:t>IDataSet</w:t>
      </w:r>
      <w:proofErr w:type="spellEnd"/>
      <w:r w:rsidRPr="0036731E">
        <w:t>}) e \</w:t>
      </w:r>
      <w:proofErr w:type="spellStart"/>
      <w:r w:rsidRPr="0036731E">
        <w:t>texttt</w:t>
      </w:r>
      <w:proofErr w:type="spellEnd"/>
      <w:r w:rsidRPr="0036731E">
        <w:t>{</w:t>
      </w:r>
      <w:proofErr w:type="spellStart"/>
      <w:r w:rsidRPr="0036731E">
        <w:t>saveData</w:t>
      </w:r>
      <w:proofErr w:type="spellEnd"/>
      <w:r w:rsidRPr="0036731E">
        <w:t xml:space="preserve"> (</w:t>
      </w:r>
      <w:proofErr w:type="spellStart"/>
      <w:r w:rsidRPr="0036731E">
        <w:t>IDataSet</w:t>
      </w:r>
      <w:proofErr w:type="spellEnd"/>
      <w:r w:rsidRPr="0036731E">
        <w:t xml:space="preserve"> </w:t>
      </w:r>
      <w:proofErr w:type="spellStart"/>
      <w:r w:rsidRPr="0036731E">
        <w:t>dataSet</w:t>
      </w:r>
      <w:proofErr w:type="spellEnd"/>
      <w:r w:rsidRPr="0036731E">
        <w:t>)} che permettono l’accesso ai dati. Essi si occupano di prelevare dati, o salvarli, in base a quanto specificato dal \</w:t>
      </w:r>
      <w:proofErr w:type="spellStart"/>
      <w:r w:rsidRPr="0036731E">
        <w:t>texttt</w:t>
      </w:r>
      <w:proofErr w:type="spellEnd"/>
      <w:r w:rsidRPr="0036731E">
        <w:t>{Set&lt;</w:t>
      </w:r>
      <w:proofErr w:type="spellStart"/>
      <w:r w:rsidRPr="0036731E">
        <w:t>String</w:t>
      </w:r>
      <w:proofErr w:type="spellEnd"/>
      <w:r w:rsidRPr="0036731E">
        <w:t xml:space="preserve">&gt;} contenente l’insieme dei tipi di dato. Inoltre, la signature garantisce l’indipendenza dai tipi di dato in ingresso o in uscita dal </w:t>
      </w:r>
      <w:proofErr w:type="spellStart"/>
      <w:r w:rsidRPr="0036731E">
        <w:t>Vault</w:t>
      </w:r>
      <w:proofErr w:type="spellEnd"/>
      <w:r w:rsidRPr="0036731E">
        <w:t xml:space="preserve"> grazie all’uso di oggetti di tipo \</w:t>
      </w:r>
      <w:proofErr w:type="spellStart"/>
      <w:r w:rsidRPr="0036731E">
        <w:t>texttt</w:t>
      </w:r>
      <w:proofErr w:type="spellEnd"/>
      <w:r w:rsidRPr="0036731E">
        <w:t>{</w:t>
      </w:r>
      <w:proofErr w:type="spellStart"/>
      <w:r w:rsidRPr="0036731E">
        <w:t>DataSet</w:t>
      </w:r>
      <w:proofErr w:type="spellEnd"/>
      <w:r w:rsidRPr="0036731E">
        <w:t>} incapsulati in opportune interfacce \</w:t>
      </w:r>
      <w:proofErr w:type="spellStart"/>
      <w:r w:rsidRPr="0036731E">
        <w:t>texttt</w:t>
      </w:r>
      <w:proofErr w:type="spellEnd"/>
      <w:r w:rsidRPr="0036731E">
        <w:t>{</w:t>
      </w:r>
      <w:proofErr w:type="spellStart"/>
      <w:r w:rsidRPr="0036731E">
        <w:t>IDataSet</w:t>
      </w:r>
      <w:proofErr w:type="spellEnd"/>
      <w:r w:rsidRPr="0036731E">
        <w:t xml:space="preserve">}. </w:t>
      </w:r>
    </w:p>
    <w:p w:rsidR="000C62DA" w:rsidRDefault="0036731E" w:rsidP="000C62DA">
      <w:r w:rsidRPr="0036731E">
        <w:t>All’interno della classe \</w:t>
      </w:r>
      <w:proofErr w:type="spellStart"/>
      <w:r w:rsidRPr="0036731E">
        <w:t>texttt</w:t>
      </w:r>
      <w:proofErr w:type="spellEnd"/>
      <w:r w:rsidRPr="0036731E">
        <w:t>{</w:t>
      </w:r>
      <w:proofErr w:type="spellStart"/>
      <w:r w:rsidRPr="0036731E">
        <w:t>PersonalDataVault</w:t>
      </w:r>
      <w:proofErr w:type="spellEnd"/>
      <w:r w:rsidRPr="0036731E">
        <w:t xml:space="preserve">} troviamo alcuni metodi privati necessari per la gestione dei dati memorizzati (ad esempio la lettura e la scrittura su file, con opportune funzioni di utility necessarie per il </w:t>
      </w:r>
      <w:proofErr w:type="spellStart"/>
      <w:r w:rsidRPr="0036731E">
        <w:t>parsing</w:t>
      </w:r>
      <w:proofErr w:type="spellEnd"/>
      <w:r w:rsidRPr="0036731E">
        <w:t xml:space="preserve">). Le scelte effettuate in questo senso derivano da una precedente implementazione e sono state adattate solo in minima parte per motivi di </w:t>
      </w:r>
      <w:proofErr w:type="spellStart"/>
      <w:r w:rsidRPr="0036731E">
        <w:t>compatibilit</w:t>
      </w:r>
      <w:proofErr w:type="spellEnd"/>
      <w:r w:rsidRPr="0036731E">
        <w:t>\`a.</w:t>
      </w:r>
      <w:r w:rsidR="00FE195D">
        <w:t xml:space="preserve"> Per quanto riguarda invece i metodi ereditati dall’interfaccia, si evidenzia l’eventualità di una </w:t>
      </w:r>
      <w:proofErr w:type="spellStart"/>
      <w:r w:rsidR="00FE195D">
        <w:t>RuntimeException</w:t>
      </w:r>
      <w:proofErr w:type="spellEnd"/>
      <w:r w:rsidR="00FE195D">
        <w:t xml:space="preserve"> </w:t>
      </w:r>
      <w:r w:rsidR="00FE195D">
        <w:lastRenderedPageBreak/>
        <w:t>(</w:t>
      </w:r>
      <w:proofErr w:type="spellStart"/>
      <w:r w:rsidR="00FE195D">
        <w:t>ClassCastException</w:t>
      </w:r>
      <w:proofErr w:type="spellEnd"/>
      <w:r w:rsidR="00FE195D">
        <w:t xml:space="preserve">): </w:t>
      </w:r>
      <w:r w:rsidR="00433D29">
        <w:t xml:space="preserve">il verificarsi di questo evento non è auspicabile, ma rappresenta comunque uno stato del sistema previsto e voluto. Qualora infatti un oggetto dovesse rivelarsi di un tipo diverso rispetto a quello dichiarato all’interno del </w:t>
      </w:r>
      <w:proofErr w:type="spellStart"/>
      <w:r w:rsidR="00433D29">
        <w:t>dataSet</w:t>
      </w:r>
      <w:proofErr w:type="spellEnd"/>
      <w:r w:rsidR="00433D29">
        <w:t xml:space="preserve"> ricevuto in ingresso, è opportuno che il programma segnali questa grave inconsistenza, terminando la sua esecuzione. Incidentalmente, il verificarsi di una situazione di questo tipo implica </w:t>
      </w:r>
      <w:r w:rsidR="000807A8">
        <w:t>la non osservanza delle politiche e dei protocolli di sicurezza, pertanto si ritiene motivato l’utilizzo di questa eccezione di basso livello.</w:t>
      </w:r>
    </w:p>
    <w:p w:rsidR="000C62DA" w:rsidRDefault="000C62DA" w:rsidP="000C62DA">
      <w:pPr>
        <w:rPr>
          <w:smallCaps/>
        </w:rPr>
      </w:pPr>
      <w:r>
        <w:t xml:space="preserve">Si può osservare che l’implementazione del </w:t>
      </w:r>
      <w:proofErr w:type="spellStart"/>
      <w:r>
        <w:t>PersonalDataVault</w:t>
      </w:r>
      <w:proofErr w:type="spellEnd"/>
      <w:r>
        <w:t xml:space="preserve"> è particolarmente dipendente dai tipi di dato utilizzati dal servizio </w:t>
      </w:r>
      <w:proofErr w:type="spellStart"/>
      <w:r>
        <w:t>Most</w:t>
      </w:r>
      <w:proofErr w:type="spellEnd"/>
      <w:r>
        <w:t xml:space="preserve"> </w:t>
      </w:r>
      <w:proofErr w:type="spellStart"/>
      <w:r>
        <w:t>Likely</w:t>
      </w:r>
      <w:proofErr w:type="spellEnd"/>
      <w:r>
        <w:t xml:space="preserve"> </w:t>
      </w:r>
      <w:proofErr w:type="spellStart"/>
      <w:r>
        <w:t>Nex</w:t>
      </w:r>
      <w:proofErr w:type="spellEnd"/>
      <w:r>
        <w:t xml:space="preserve"> Trip scelto come caso di studio. Tale caratteristica costituisce una limitazione del gestore di dati personali realizzato in questa tesi e trova un riscontro all’interno delle problematiche evidenziate all’interno della sezione 5.6. Anche la scelta di memorizzare i dati acquisiti all’interno di file di testo, derivata da una precedente implementazione, si colloca all’interno di un orizzonte limitato: alcune proposte di aggiornamento sono state discusse in 4.5, e saranno oggetto d</w:t>
      </w:r>
      <w:r w:rsidR="00186DEC">
        <w:t>i ulteriore discussione all’interno del capitolo 6.</w:t>
      </w:r>
    </w:p>
    <w:p w:rsidR="00B346A5" w:rsidRDefault="00B346A5" w:rsidP="0036731E">
      <w:pPr>
        <w:pStyle w:val="Heading3"/>
      </w:pPr>
      <w:r>
        <w:t>5.8 Metadata</w:t>
      </w:r>
      <w:bookmarkEnd w:id="40"/>
    </w:p>
    <w:p w:rsidR="00B346A5" w:rsidRDefault="00B346A5" w:rsidP="00B346A5">
      <w:pPr>
        <w:keepNext/>
        <w:jc w:val="center"/>
      </w:pPr>
      <w:r>
        <w:rPr>
          <w:noProof/>
        </w:rPr>
        <w:drawing>
          <wp:inline distT="0" distB="0" distL="0" distR="0">
            <wp:extent cx="4488815" cy="3396615"/>
            <wp:effectExtent l="0" t="0" r="6985" b="0"/>
            <wp:docPr id="13" name="Picture 13" descr="C:\Users\Giada\AppData\Local\Microsoft\Windows\INetCacheContent.Wo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da\AppData\Local\Microsoft\Windows\INetCacheContent.Word\Metada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8815" cy="3396615"/>
                    </a:xfrm>
                    <a:prstGeom prst="rect">
                      <a:avLst/>
                    </a:prstGeom>
                    <a:noFill/>
                    <a:ln>
                      <a:noFill/>
                    </a:ln>
                  </pic:spPr>
                </pic:pic>
              </a:graphicData>
            </a:graphic>
          </wp:inline>
        </w:drawing>
      </w:r>
    </w:p>
    <w:p w:rsidR="00B346A5" w:rsidRDefault="00B346A5" w:rsidP="00B346A5">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sidR="00A30E21">
        <w:rPr>
          <w:noProof/>
        </w:rPr>
        <w:t>10</w:t>
      </w:r>
      <w:r w:rsidR="009509B6">
        <w:rPr>
          <w:noProof/>
        </w:rPr>
        <w:fldChar w:fldCharType="end"/>
      </w:r>
    </w:p>
    <w:p w:rsidR="00D77A37" w:rsidRPr="00D77A37" w:rsidRDefault="00D77A37" w:rsidP="00D77A37">
      <w:r w:rsidRPr="00D77A37">
        <w:lastRenderedPageBreak/>
        <w:t>Come già accennato in precedenza, un approccio diver</w:t>
      </w:r>
      <w:r>
        <w:t xml:space="preserve">so, più completo ed esaustivo, </w:t>
      </w:r>
      <w:r w:rsidRPr="00D77A37">
        <w:t>avrebbe comportato mezzi più consistenti e conoscenze di cui -</w:t>
      </w:r>
      <w:r>
        <w:t xml:space="preserve"> </w:t>
      </w:r>
      <w:r w:rsidRPr="00D77A37">
        <w:t>al momento</w:t>
      </w:r>
      <w:r>
        <w:t xml:space="preserve"> </w:t>
      </w:r>
      <w:r w:rsidRPr="00D77A37">
        <w:t>- non si dispone.</w:t>
      </w:r>
    </w:p>
    <w:p w:rsidR="00D77A37" w:rsidRDefault="00D77A37" w:rsidP="00D77A37">
      <w:r>
        <w:t xml:space="preserve">Si è ritenuto, in alternativa, </w:t>
      </w:r>
      <w:r w:rsidRPr="00D77A37">
        <w:t xml:space="preserve">di dover ricorrere alla definizione preventiva </w:t>
      </w:r>
      <w:r>
        <w:t xml:space="preserve">dei tipi di dato disponibili all’interno del sistema, quali ad esempio Position e </w:t>
      </w:r>
      <w:proofErr w:type="spellStart"/>
      <w:r>
        <w:t>ICalendar</w:t>
      </w:r>
      <w:proofErr w:type="spellEnd"/>
      <w:r>
        <w:t>, utilizzando dove possibile le interfacce al posto delle classi, onde diminuire la forte dipendenza dalla particolare implementazione.</w:t>
      </w:r>
    </w:p>
    <w:p w:rsidR="00D77A37" w:rsidRDefault="00D77A37" w:rsidP="00D77A37">
      <w:r w:rsidRPr="00D77A37">
        <w:t xml:space="preserve">Questa modalità potrebbe forse apparire come una eccessiva semplificazione del contesto </w:t>
      </w:r>
      <w:r w:rsidR="00F72CF4">
        <w:t xml:space="preserve">per la scelta arbitraria dei tipi di alto livello sopra menzionati e delle loro implementazioni. </w:t>
      </w:r>
      <w:r w:rsidRPr="00D77A37">
        <w:t>La soluzione proposta, però, è da ritenersi plausibile in quanto valuta che i componenti indicati</w:t>
      </w:r>
      <w:r w:rsidR="00C95BCB">
        <w:t xml:space="preserve"> </w:t>
      </w:r>
      <w:r w:rsidRPr="00D77A37">
        <w:t>siano tali da poter rendere risultati accettabili anche in presenza delle limitazioni assunte.</w:t>
      </w:r>
    </w:p>
    <w:p w:rsidR="00B3622B" w:rsidRPr="009244C0" w:rsidRDefault="00881962" w:rsidP="00B3622B">
      <w:r>
        <w:t>Pertanto, l</w:t>
      </w:r>
      <w:r w:rsidR="006B377B">
        <w:t xml:space="preserve">a classe Metadata ha il compito di definire a priori i tipi di dato disponibili all’interno dell’Operatore </w:t>
      </w:r>
      <w:proofErr w:type="spellStart"/>
      <w:r w:rsidR="006B377B">
        <w:t>MyData</w:t>
      </w:r>
      <w:proofErr w:type="spellEnd"/>
      <w:r w:rsidR="006B377B">
        <w:t>. A livello implementativo, la classe espone un certo numero di stringhe</w:t>
      </w:r>
      <w:r w:rsidR="00285308">
        <w:t xml:space="preserve"> </w:t>
      </w:r>
      <w:proofErr w:type="spellStart"/>
      <w:r w:rsidR="00285308">
        <w:t>static</w:t>
      </w:r>
      <w:proofErr w:type="spellEnd"/>
      <w:r w:rsidR="006B377B">
        <w:t xml:space="preserve"> </w:t>
      </w:r>
      <w:proofErr w:type="spellStart"/>
      <w:r w:rsidR="006B377B">
        <w:t>final</w:t>
      </w:r>
      <w:proofErr w:type="spellEnd"/>
      <w:r w:rsidR="00285308">
        <w:t xml:space="preserve">, ognuna delle quali è inizializzata con il </w:t>
      </w:r>
      <w:proofErr w:type="spellStart"/>
      <w:r w:rsidR="00285308">
        <w:t>fully</w:t>
      </w:r>
      <w:proofErr w:type="spellEnd"/>
      <w:r w:rsidR="00285308">
        <w:t xml:space="preserve"> </w:t>
      </w:r>
      <w:proofErr w:type="spellStart"/>
      <w:r w:rsidR="00285308">
        <w:t>qualified</w:t>
      </w:r>
      <w:proofErr w:type="spellEnd"/>
      <w:r w:rsidR="00285308">
        <w:t xml:space="preserve"> </w:t>
      </w:r>
      <w:proofErr w:type="spellStart"/>
      <w:r w:rsidR="00285308">
        <w:t>name</w:t>
      </w:r>
      <w:proofErr w:type="spellEnd"/>
      <w:r w:rsidR="00285308">
        <w:t xml:space="preserve"> della classe</w:t>
      </w:r>
      <w:r>
        <w:t xml:space="preserve"> (o interfaccia) che rappresenta, al fine di conservare l’informazione completa riguardo al tipo di dato.</w:t>
      </w:r>
      <w:r w:rsidR="00B3622B">
        <w:t xml:space="preserve"> All’interno del programma, esse sono accessibili mediante la notazione </w:t>
      </w:r>
      <w:proofErr w:type="spellStart"/>
      <w:r w:rsidR="00B3622B">
        <w:t>Metadata.DATATYPE_CONST</w:t>
      </w:r>
      <w:proofErr w:type="spellEnd"/>
      <w:r w:rsidR="00B3622B">
        <w:t>, ad esempio al momento della costruzione dei Set&lt;</w:t>
      </w:r>
      <w:proofErr w:type="spellStart"/>
      <w:r w:rsidR="00B3622B">
        <w:t>String</w:t>
      </w:r>
      <w:proofErr w:type="spellEnd"/>
      <w:r w:rsidR="00B3622B">
        <w:t xml:space="preserve">&gt; necessari per la registrazione presso il </w:t>
      </w:r>
      <w:proofErr w:type="spellStart"/>
      <w:r w:rsidR="00B3622B">
        <w:t>ServiceRegistry</w:t>
      </w:r>
      <w:proofErr w:type="spellEnd"/>
      <w:r w:rsidR="00B3622B">
        <w:t xml:space="preserve"> (sezione ), o nel controllo della legittimità dell’emissione di un permesso (sezione ).</w:t>
      </w:r>
    </w:p>
    <w:p w:rsidR="00B3622B" w:rsidRDefault="00B3622B" w:rsidP="009E231B">
      <w:pPr>
        <w:pStyle w:val="Heading3"/>
      </w:pPr>
    </w:p>
    <w:p w:rsidR="003D2B17" w:rsidRPr="003D2B17" w:rsidRDefault="009E231B" w:rsidP="009E231B">
      <w:pPr>
        <w:pStyle w:val="Heading3"/>
      </w:pPr>
      <w:proofErr w:type="spellStart"/>
      <w:r>
        <w:t>DataSet</w:t>
      </w:r>
      <w:proofErr w:type="spellEnd"/>
    </w:p>
    <w:p w:rsidR="00B346A5" w:rsidRDefault="00B346A5" w:rsidP="00B346A5"/>
    <w:p w:rsidR="00B346A5" w:rsidRDefault="00B346A5" w:rsidP="00B346A5">
      <w:pPr>
        <w:keepNext/>
        <w:jc w:val="center"/>
      </w:pPr>
      <w:r>
        <w:rPr>
          <w:noProof/>
        </w:rPr>
        <w:lastRenderedPageBreak/>
        <w:drawing>
          <wp:inline distT="0" distB="0" distL="0" distR="0">
            <wp:extent cx="5256530" cy="2600156"/>
            <wp:effectExtent l="0" t="0" r="1270" b="0"/>
            <wp:docPr id="12" name="Picture 12" descr="C:\Users\Giada\AppData\Local\Microsoft\Windows\INetCacheContent.Word\I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ada\AppData\Local\Microsoft\Windows\INetCacheContent.Word\IDataS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6530" cy="2600156"/>
                    </a:xfrm>
                    <a:prstGeom prst="rect">
                      <a:avLst/>
                    </a:prstGeom>
                    <a:noFill/>
                    <a:ln>
                      <a:noFill/>
                    </a:ln>
                  </pic:spPr>
                </pic:pic>
              </a:graphicData>
            </a:graphic>
          </wp:inline>
        </w:drawing>
      </w:r>
    </w:p>
    <w:p w:rsidR="00B346A5" w:rsidRDefault="00B346A5" w:rsidP="00B346A5">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sidR="00A30E21">
        <w:rPr>
          <w:noProof/>
        </w:rPr>
        <w:t>11</w:t>
      </w:r>
      <w:r w:rsidR="009509B6">
        <w:rPr>
          <w:noProof/>
        </w:rPr>
        <w:fldChar w:fldCharType="end"/>
      </w:r>
    </w:p>
    <w:p w:rsidR="00796010" w:rsidRDefault="00796010" w:rsidP="009E231B">
      <w:r>
        <w:t xml:space="preserve">Come anticipato nelle sezioni precedenti, la classe </w:t>
      </w:r>
      <w:proofErr w:type="spellStart"/>
      <w:r>
        <w:t>DataSet</w:t>
      </w:r>
      <w:proofErr w:type="spellEnd"/>
      <w:r>
        <w:t xml:space="preserve"> viene utilizzata per il trasferimento di dati fra Source e </w:t>
      </w:r>
      <w:proofErr w:type="spellStart"/>
      <w:r>
        <w:t>Sink</w:t>
      </w:r>
      <w:proofErr w:type="spellEnd"/>
      <w:r>
        <w:t xml:space="preserve">. Dal grafico UML in figura si nota che essa viene sempre referenziata per mezzo dell’interfaccia </w:t>
      </w:r>
      <w:proofErr w:type="spellStart"/>
      <w:r>
        <w:t>IDataSet</w:t>
      </w:r>
      <w:proofErr w:type="spellEnd"/>
      <w:r>
        <w:t xml:space="preserve">, ed è inoltre possibile riconoscere </w:t>
      </w:r>
      <w:proofErr w:type="spellStart"/>
      <w:r>
        <w:t>IPersonalDataVault</w:t>
      </w:r>
      <w:proofErr w:type="spellEnd"/>
      <w:r>
        <w:t xml:space="preserve"> e </w:t>
      </w:r>
      <w:proofErr w:type="spellStart"/>
      <w:r>
        <w:t>IService</w:t>
      </w:r>
      <w:proofErr w:type="spellEnd"/>
      <w:r>
        <w:t xml:space="preserve"> nei ruoli (non statici) di Source e </w:t>
      </w:r>
      <w:proofErr w:type="spellStart"/>
      <w:r>
        <w:t>Sink</w:t>
      </w:r>
      <w:proofErr w:type="spellEnd"/>
      <w:r>
        <w:t>.</w:t>
      </w:r>
    </w:p>
    <w:p w:rsidR="004A7609" w:rsidRDefault="00796010" w:rsidP="009E231B">
      <w:r>
        <w:t xml:space="preserve">L’oggetto </w:t>
      </w:r>
      <w:proofErr w:type="spellStart"/>
      <w:r>
        <w:t>DataSet</w:t>
      </w:r>
      <w:proofErr w:type="spellEnd"/>
      <w:r>
        <w:t xml:space="preserve"> contiene i dati da trasferire mediante l’utilizzo di una </w:t>
      </w:r>
      <w:proofErr w:type="spellStart"/>
      <w:r>
        <w:t>Map</w:t>
      </w:r>
      <w:proofErr w:type="spellEnd"/>
      <w:r>
        <w:t>&lt;</w:t>
      </w:r>
      <w:proofErr w:type="spellStart"/>
      <w:r w:rsidR="00BF24A2">
        <w:t>String</w:t>
      </w:r>
      <w:proofErr w:type="spellEnd"/>
      <w:r w:rsidR="00BF24A2">
        <w:t xml:space="preserve">, Object&gt;, dove le chiavi sono le costanti di tipo stringa esposte dalla classe Metadata e i </w:t>
      </w:r>
      <w:proofErr w:type="spellStart"/>
      <w:r w:rsidR="00BF24A2">
        <w:t>value</w:t>
      </w:r>
      <w:proofErr w:type="spellEnd"/>
      <w:r w:rsidR="00BF24A2">
        <w:t xml:space="preserve"> corrispondenti sono generici Object (non sono permessi valori </w:t>
      </w:r>
      <w:proofErr w:type="spellStart"/>
      <w:r w:rsidR="00BF24A2">
        <w:t>null</w:t>
      </w:r>
      <w:proofErr w:type="spellEnd"/>
      <w:r w:rsidR="00BF24A2">
        <w:t xml:space="preserve">). </w:t>
      </w:r>
      <w:r w:rsidR="004A7609">
        <w:t>In altre parole, questa struttura dati associa ad ogni oggetto il suo tipo, espresso all’interno di una stringa.</w:t>
      </w:r>
    </w:p>
    <w:p w:rsidR="004A7609" w:rsidRDefault="004A7609" w:rsidP="009E231B">
      <w:r>
        <w:t xml:space="preserve">L’obiettivo della classe </w:t>
      </w:r>
      <w:proofErr w:type="spellStart"/>
      <w:r>
        <w:t>DataSet</w:t>
      </w:r>
      <w:proofErr w:type="spellEnd"/>
      <w:r>
        <w:t xml:space="preserve"> è contenere un insieme di oggetti il cui tipo non è noto a priori senza perdere l’informazione sul tipo stesso dopo la conversione a Object.</w:t>
      </w:r>
    </w:p>
    <w:p w:rsidR="00796010" w:rsidRDefault="000325A1" w:rsidP="009E231B">
      <w:r>
        <w:t xml:space="preserve">In questo modo si trova una soluzione al problema della </w:t>
      </w:r>
      <w:proofErr w:type="spellStart"/>
      <w:r>
        <w:t>Type</w:t>
      </w:r>
      <w:proofErr w:type="spellEnd"/>
      <w:r>
        <w:t xml:space="preserve"> Erasure, poiché l’informazione sul tipo di dato originario viene conservata separatamente</w:t>
      </w:r>
      <w:r w:rsidR="004A7609">
        <w:t xml:space="preserve"> all’oggetto stesso. Il destinatario della trasmissione è in grado, attraverso le costanti di tipo stringa, di risalire al tipo dell’oggetto ricevuto, in modo da poterlo utilizzare in modo appropriato.</w:t>
      </w:r>
    </w:p>
    <w:p w:rsidR="004A7609" w:rsidRPr="009E231B" w:rsidRDefault="004A7609" w:rsidP="009E231B">
      <w:r>
        <w:t xml:space="preserve">I metodi esposti dall’interfaccia ridefiniscono quelli propri della struttura dati </w:t>
      </w:r>
      <w:proofErr w:type="spellStart"/>
      <w:r>
        <w:t>Map</w:t>
      </w:r>
      <w:proofErr w:type="spellEnd"/>
      <w:r>
        <w:t xml:space="preserve"> che costituisce lo stato interno della classe, aggiungendo il controllo per i valori </w:t>
      </w:r>
      <w:proofErr w:type="spellStart"/>
      <w:r>
        <w:t>null</w:t>
      </w:r>
      <w:proofErr w:type="spellEnd"/>
      <w:r>
        <w:t xml:space="preserve"> e per la richiesta di </w:t>
      </w:r>
      <w:r w:rsidR="00600C9D">
        <w:t>oggetti non disponibili all’interno della mappa data.</w:t>
      </w:r>
    </w:p>
    <w:p w:rsidR="00B346A5" w:rsidRDefault="00B346A5" w:rsidP="009F0182">
      <w:pPr>
        <w:pStyle w:val="Heading2"/>
      </w:pPr>
      <w:bookmarkStart w:id="41" w:name="_Toc466904565"/>
      <w:r>
        <w:lastRenderedPageBreak/>
        <w:t>5.9 IService</w:t>
      </w:r>
      <w:r w:rsidR="00A30E21">
        <w:t>, AbstractService, MostLikelyNextTrip</w:t>
      </w:r>
      <w:bookmarkEnd w:id="41"/>
    </w:p>
    <w:p w:rsidR="00A30E21" w:rsidRDefault="00A30E21" w:rsidP="00A30E21">
      <w:pPr>
        <w:keepNext/>
        <w:jc w:val="center"/>
      </w:pPr>
      <w:r>
        <w:rPr>
          <w:noProof/>
        </w:rPr>
        <w:drawing>
          <wp:inline distT="0" distB="0" distL="0" distR="0">
            <wp:extent cx="5256530" cy="901441"/>
            <wp:effectExtent l="0" t="0" r="1270" b="0"/>
            <wp:docPr id="14" name="Picture 14" descr="C:\Users\Giada\AppData\Local\Microsoft\Windows\INetCacheContent.Word\Services-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da\AppData\Local\Microsoft\Windows\INetCacheContent.Word\Services-clos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6530" cy="901441"/>
                    </a:xfrm>
                    <a:prstGeom prst="rect">
                      <a:avLst/>
                    </a:prstGeom>
                    <a:noFill/>
                    <a:ln>
                      <a:noFill/>
                    </a:ln>
                  </pic:spPr>
                </pic:pic>
              </a:graphicData>
            </a:graphic>
          </wp:inline>
        </w:drawing>
      </w:r>
    </w:p>
    <w:p w:rsidR="00A30E21" w:rsidRDefault="00A30E21" w:rsidP="00A30E21">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Pr>
          <w:noProof/>
        </w:rPr>
        <w:t>12</w:t>
      </w:r>
      <w:r w:rsidR="009509B6">
        <w:rPr>
          <w:noProof/>
        </w:rPr>
        <w:fldChar w:fldCharType="end"/>
      </w:r>
    </w:p>
    <w:p w:rsidR="004F430D" w:rsidRPr="004F430D" w:rsidRDefault="004F430D" w:rsidP="004F430D">
      <w:r>
        <w:t xml:space="preserve">Il diagramma UML in figura mostra l’implementazione proposta per l’utilizzo di servizi all’interno dell’architettura </w:t>
      </w:r>
      <w:proofErr w:type="spellStart"/>
      <w:r>
        <w:t>MyData</w:t>
      </w:r>
      <w:proofErr w:type="spellEnd"/>
      <w:r>
        <w:t xml:space="preserve">. L’interfaccia </w:t>
      </w:r>
      <w:proofErr w:type="spellStart"/>
      <w:r>
        <w:t>IService</w:t>
      </w:r>
      <w:proofErr w:type="spellEnd"/>
      <w:r>
        <w:t xml:space="preserve"> e la classe astratta </w:t>
      </w:r>
      <w:proofErr w:type="spellStart"/>
      <w:r>
        <w:t>AbstractService</w:t>
      </w:r>
      <w:proofErr w:type="spellEnd"/>
      <w:r>
        <w:t xml:space="preserve"> sono state realizzate al fine di mediare l’</w:t>
      </w:r>
      <w:r w:rsidR="002A1113">
        <w:t>interazione fra</w:t>
      </w:r>
      <w:r>
        <w:t xml:space="preserve"> servizio concreto (in questo caso </w:t>
      </w:r>
      <w:proofErr w:type="spellStart"/>
      <w:r>
        <w:t>MostLikelyNextTrip</w:t>
      </w:r>
      <w:proofErr w:type="spellEnd"/>
      <w:r>
        <w:t xml:space="preserve">) e </w:t>
      </w:r>
      <w:r w:rsidR="002A1113">
        <w:t>O</w:t>
      </w:r>
      <w:r>
        <w:t xml:space="preserve">peratore (ad esempio, classi </w:t>
      </w:r>
      <w:proofErr w:type="spellStart"/>
      <w:r>
        <w:t>ServiceRegistry</w:t>
      </w:r>
      <w:proofErr w:type="spellEnd"/>
      <w:r>
        <w:t xml:space="preserve"> o </w:t>
      </w:r>
      <w:proofErr w:type="spellStart"/>
      <w:r>
        <w:t>IMyData</w:t>
      </w:r>
      <w:proofErr w:type="spellEnd"/>
      <w:r>
        <w:t>). In</w:t>
      </w:r>
      <w:r w:rsidR="002A1113">
        <w:t xml:space="preserve"> questo senso, si può dire che la classe </w:t>
      </w:r>
      <w:proofErr w:type="spellStart"/>
      <w:r>
        <w:t>AbstractService</w:t>
      </w:r>
      <w:proofErr w:type="spellEnd"/>
      <w:r>
        <w:t xml:space="preserve"> </w:t>
      </w:r>
      <w:r w:rsidR="002A1113">
        <w:t xml:space="preserve">raccoglie a fattore comune le operazioni comuni a tutti i servizi, lasciando alle classi figlie il compito di realizzare solo le parti fortemente dipendenti dalla particolare business </w:t>
      </w:r>
      <w:proofErr w:type="spellStart"/>
      <w:r w:rsidR="002A1113">
        <w:t>logic</w:t>
      </w:r>
      <w:proofErr w:type="spellEnd"/>
      <w:r w:rsidR="002A1113">
        <w:t xml:space="preserve">. Per realizzare un nuovo servizio è necessario quindi creare una classe che estende </w:t>
      </w:r>
      <w:proofErr w:type="spellStart"/>
      <w:r w:rsidR="002A1113">
        <w:t>AbstractService</w:t>
      </w:r>
      <w:proofErr w:type="spellEnd"/>
      <w:r w:rsidR="002A1113">
        <w:t xml:space="preserve">: nel caso di studio, essa è la classe </w:t>
      </w:r>
      <w:proofErr w:type="spellStart"/>
      <w:r w:rsidR="002A1113">
        <w:t>MostLikelyNextTrip</w:t>
      </w:r>
      <w:proofErr w:type="spellEnd"/>
      <w:r w:rsidR="002A1113">
        <w:t>, che si interfaccia con il servizio di calcolo del prossimo viaggio più probabile[</w:t>
      </w:r>
      <w:proofErr w:type="spellStart"/>
      <w:r w:rsidR="002A1113">
        <w:t>cite</w:t>
      </w:r>
      <w:proofErr w:type="spellEnd"/>
      <w:r w:rsidR="002A1113">
        <w:t xml:space="preserve">] </w:t>
      </w:r>
      <w:proofErr w:type="spellStart"/>
      <w:r w:rsidR="002A1113">
        <w:t>SuggesterManager</w:t>
      </w:r>
      <w:proofErr w:type="spellEnd"/>
      <w:r w:rsidR="002A1113">
        <w:t>.</w:t>
      </w:r>
    </w:p>
    <w:p w:rsidR="00A30E21" w:rsidRDefault="00A30E21" w:rsidP="00A30E21">
      <w:pPr>
        <w:keepNext/>
        <w:jc w:val="center"/>
      </w:pPr>
      <w:r>
        <w:rPr>
          <w:noProof/>
        </w:rPr>
        <w:drawing>
          <wp:inline distT="0" distB="0" distL="0" distR="0">
            <wp:extent cx="5256530" cy="2178494"/>
            <wp:effectExtent l="0" t="0" r="1270" b="0"/>
            <wp:docPr id="15" name="Picture 15" descr="C:\Users\Giada\AppData\Local\Microsoft\Windows\INetCacheContent.Word\Servic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ada\AppData\Local\Microsoft\Windows\INetCacheContent.Word\Services-op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6530" cy="2178494"/>
                    </a:xfrm>
                    <a:prstGeom prst="rect">
                      <a:avLst/>
                    </a:prstGeom>
                    <a:noFill/>
                    <a:ln>
                      <a:noFill/>
                    </a:ln>
                  </pic:spPr>
                </pic:pic>
              </a:graphicData>
            </a:graphic>
          </wp:inline>
        </w:drawing>
      </w:r>
    </w:p>
    <w:p w:rsidR="002E733B" w:rsidRDefault="00A30E21" w:rsidP="002E733B">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Pr>
          <w:noProof/>
        </w:rPr>
        <w:t>13</w:t>
      </w:r>
      <w:r w:rsidR="009509B6">
        <w:rPr>
          <w:noProof/>
        </w:rPr>
        <w:fldChar w:fldCharType="end"/>
      </w:r>
      <w:bookmarkStart w:id="42" w:name="_Toc466904566"/>
    </w:p>
    <w:p w:rsidR="002E733B" w:rsidRDefault="002E733B" w:rsidP="002E733B">
      <w:r>
        <w:t xml:space="preserve">Il livello più astratto di definizione dei servizi in </w:t>
      </w:r>
      <w:proofErr w:type="spellStart"/>
      <w:r>
        <w:t>MyData</w:t>
      </w:r>
      <w:proofErr w:type="spellEnd"/>
      <w:r>
        <w:t xml:space="preserve"> è rappresentato dall’interfaccia </w:t>
      </w:r>
      <w:proofErr w:type="spellStart"/>
      <w:r>
        <w:t>IService</w:t>
      </w:r>
      <w:proofErr w:type="spellEnd"/>
      <w:r>
        <w:t xml:space="preserve">, e permette il loro riferimento all’interno dell’architettura. Fra i metodi esposti si evidenziano </w:t>
      </w:r>
      <w:proofErr w:type="spellStart"/>
      <w:r>
        <w:t>provideService</w:t>
      </w:r>
      <w:proofErr w:type="spellEnd"/>
      <w:r w:rsidR="003C75A6">
        <w:t xml:space="preserve"> </w:t>
      </w:r>
      <w:r>
        <w:t>(</w:t>
      </w:r>
      <w:proofErr w:type="spellStart"/>
      <w:r>
        <w:t>IUser</w:t>
      </w:r>
      <w:proofErr w:type="spellEnd"/>
      <w:r>
        <w:t xml:space="preserve"> user) e </w:t>
      </w:r>
      <w:proofErr w:type="spellStart"/>
      <w:r>
        <w:t>gatherData</w:t>
      </w:r>
      <w:proofErr w:type="spellEnd"/>
      <w:r w:rsidR="003C75A6">
        <w:t xml:space="preserve"> </w:t>
      </w:r>
      <w:r>
        <w:t>(</w:t>
      </w:r>
      <w:proofErr w:type="spellStart"/>
      <w:r>
        <w:t>IUser</w:t>
      </w:r>
      <w:proofErr w:type="spellEnd"/>
      <w:r>
        <w:t xml:space="preserve"> user, </w:t>
      </w:r>
      <w:proofErr w:type="spellStart"/>
      <w:r>
        <w:t>dataSet</w:t>
      </w:r>
      <w:proofErr w:type="spellEnd"/>
      <w:r>
        <w:t xml:space="preserve"> </w:t>
      </w:r>
      <w:proofErr w:type="spellStart"/>
      <w:r>
        <w:t>IDataSet</w:t>
      </w:r>
      <w:proofErr w:type="spellEnd"/>
      <w:r>
        <w:t>), che costituiscono i punti di ingresso e di uscita del flusso di dati utilizzati e prodotti dal servizio.</w:t>
      </w:r>
    </w:p>
    <w:p w:rsidR="002E733B" w:rsidRDefault="003C75A6" w:rsidP="002E733B">
      <w:r>
        <w:lastRenderedPageBreak/>
        <w:t xml:space="preserve">L’interfaccia viene implementata parzialmente dalla classe </w:t>
      </w:r>
      <w:proofErr w:type="spellStart"/>
      <w:r>
        <w:t>AbstractService</w:t>
      </w:r>
      <w:proofErr w:type="spellEnd"/>
      <w:r>
        <w:t xml:space="preserve">. </w:t>
      </w:r>
    </w:p>
    <w:p w:rsidR="003C75A6" w:rsidRDefault="003C75A6" w:rsidP="002E733B">
      <w:r>
        <w:t xml:space="preserve">Il metodo </w:t>
      </w:r>
      <w:proofErr w:type="spellStart"/>
      <w:r>
        <w:t>provideService</w:t>
      </w:r>
      <w:proofErr w:type="spellEnd"/>
      <w:r>
        <w:t xml:space="preserve"> raccoglie a fattore comune la richiesta di un </w:t>
      </w:r>
      <w:proofErr w:type="spellStart"/>
      <w:r>
        <w:t>OutputDataConsent</w:t>
      </w:r>
      <w:proofErr w:type="spellEnd"/>
      <w:r>
        <w:t xml:space="preserve"> al </w:t>
      </w:r>
      <w:proofErr w:type="spellStart"/>
      <w:r>
        <w:t>ConsentManager</w:t>
      </w:r>
      <w:proofErr w:type="spellEnd"/>
      <w:r>
        <w:t xml:space="preserve">, seguita dall’effettiva richiesta di dati inoltrata al </w:t>
      </w:r>
      <w:proofErr w:type="spellStart"/>
      <w:r>
        <w:t>PersonalDataVault</w:t>
      </w:r>
      <w:proofErr w:type="spellEnd"/>
      <w:r>
        <w:t xml:space="preserve"> tramite una richiesta all’operatore </w:t>
      </w:r>
      <w:proofErr w:type="spellStart"/>
      <w:r>
        <w:t>MyData</w:t>
      </w:r>
      <w:proofErr w:type="spellEnd"/>
      <w:r>
        <w:t>. Infine, viene restituito</w:t>
      </w:r>
      <w:r w:rsidR="00AD7F9C">
        <w:t xml:space="preserve"> il risultato della chiamata alla funzione abstract</w:t>
      </w:r>
      <w:r>
        <w:t xml:space="preserve"> </w:t>
      </w:r>
      <w:proofErr w:type="spellStart"/>
      <w:r>
        <w:t>protected</w:t>
      </w:r>
      <w:proofErr w:type="spellEnd"/>
      <w:r>
        <w:t xml:space="preserve"> </w:t>
      </w:r>
      <w:proofErr w:type="spellStart"/>
      <w:r>
        <w:t>concreteService</w:t>
      </w:r>
      <w:proofErr w:type="spellEnd"/>
      <w:r w:rsidR="00AD7F9C">
        <w:t xml:space="preserve"> </w:t>
      </w:r>
      <w:r>
        <w:t>(</w:t>
      </w:r>
      <w:proofErr w:type="spellStart"/>
      <w:r>
        <w:t>IDataSet</w:t>
      </w:r>
      <w:proofErr w:type="spellEnd"/>
      <w:r>
        <w:t xml:space="preserve"> </w:t>
      </w:r>
      <w:proofErr w:type="spellStart"/>
      <w:r>
        <w:t>dataSet</w:t>
      </w:r>
      <w:proofErr w:type="spellEnd"/>
      <w:r>
        <w:t>)</w:t>
      </w:r>
      <w:r w:rsidR="00AD7F9C">
        <w:t xml:space="preserve">: la visibilità garantisce che dall’esterno venga chiamato solo il metodo esposto dall’interfaccia </w:t>
      </w:r>
      <w:proofErr w:type="spellStart"/>
      <w:r w:rsidR="00AD7F9C">
        <w:t>IService</w:t>
      </w:r>
      <w:proofErr w:type="spellEnd"/>
      <w:r w:rsidR="00AD7F9C">
        <w:t xml:space="preserve">. La signature astratta indica inoltre che questa funzione contiene l’effettiva implementazione della business </w:t>
      </w:r>
      <w:proofErr w:type="spellStart"/>
      <w:r w:rsidR="00AD7F9C">
        <w:t>logic</w:t>
      </w:r>
      <w:proofErr w:type="spellEnd"/>
      <w:r w:rsidR="00AD7F9C">
        <w:t xml:space="preserve">, delegata alle classi concrete che estendono </w:t>
      </w:r>
      <w:proofErr w:type="spellStart"/>
      <w:r w:rsidR="00AD7F9C">
        <w:t>AbstractService</w:t>
      </w:r>
      <w:proofErr w:type="spellEnd"/>
      <w:r w:rsidR="00AD7F9C">
        <w:t>.</w:t>
      </w:r>
    </w:p>
    <w:p w:rsidR="00AD7F9C" w:rsidRDefault="00AD7F9C" w:rsidP="002E733B">
      <w:r>
        <w:t>Il me</w:t>
      </w:r>
      <w:r w:rsidR="00840964">
        <w:t xml:space="preserve">todo </w:t>
      </w:r>
      <w:proofErr w:type="spellStart"/>
      <w:r w:rsidR="00840964">
        <w:t>gatherData</w:t>
      </w:r>
      <w:proofErr w:type="spellEnd"/>
      <w:r w:rsidR="00840964">
        <w:t xml:space="preserve"> segue la stessa sequenza di passi: la richiesta al </w:t>
      </w:r>
      <w:proofErr w:type="spellStart"/>
      <w:r w:rsidR="00840964">
        <w:t>ConsentManager</w:t>
      </w:r>
      <w:proofErr w:type="spellEnd"/>
      <w:r w:rsidR="00840964">
        <w:t xml:space="preserve"> di un </w:t>
      </w:r>
      <w:proofErr w:type="spellStart"/>
      <w:r w:rsidR="00840964">
        <w:t>InputDataConsent</w:t>
      </w:r>
      <w:proofErr w:type="spellEnd"/>
      <w:r w:rsidR="00840964">
        <w:t xml:space="preserve"> e l’interazione con il </w:t>
      </w:r>
      <w:proofErr w:type="spellStart"/>
      <w:r w:rsidR="00840964">
        <w:t>PersonalDataVault</w:t>
      </w:r>
      <w:proofErr w:type="spellEnd"/>
      <w:r w:rsidR="00840964">
        <w:t xml:space="preserve"> mediante Operatore </w:t>
      </w:r>
      <w:proofErr w:type="spellStart"/>
      <w:r w:rsidR="00840964">
        <w:t>MyData</w:t>
      </w:r>
      <w:proofErr w:type="spellEnd"/>
      <w:r w:rsidR="00840964">
        <w:t xml:space="preserve"> sono però preceduti da alcuni controlli sui dati in ingresso, al fine di verificare la legittimità della richiesta.</w:t>
      </w:r>
    </w:p>
    <w:p w:rsidR="00840964" w:rsidRDefault="00840964" w:rsidP="002E733B">
      <w:r>
        <w:t xml:space="preserve">Fra i metodi astratti si evidenzia infine </w:t>
      </w:r>
      <w:proofErr w:type="spellStart"/>
      <w:r>
        <w:t>registerService</w:t>
      </w:r>
      <w:proofErr w:type="spellEnd"/>
      <w:r>
        <w:t>(), da invocare all’interno del costruttore della classe figlia.</w:t>
      </w:r>
      <w:r w:rsidR="00EF2CB7">
        <w:t xml:space="preserve"> Durante la chiamata a procedura, il servizio concreto specifica quali tipi di dato utilizzerà mediante l’utilizzo delle costanti descritte in dettaglio nella sezione 5.7.</w:t>
      </w:r>
    </w:p>
    <w:p w:rsidR="00EF2CB7" w:rsidRPr="002E733B" w:rsidRDefault="00EF2CB7" w:rsidP="002E733B">
      <w:r>
        <w:t xml:space="preserve">Della classe implementativa </w:t>
      </w:r>
      <w:proofErr w:type="spellStart"/>
      <w:r>
        <w:t>MostLikelyNextTrip</w:t>
      </w:r>
      <w:proofErr w:type="spellEnd"/>
      <w:r>
        <w:t xml:space="preserve"> si evidenzia solo la presenza dello stato interno, dove sono contenuti il nome, identificatore unico del servizio, e</w:t>
      </w:r>
      <w:r w:rsidR="007858D3">
        <w:t xml:space="preserve"> il Set&lt;</w:t>
      </w:r>
      <w:proofErr w:type="spellStart"/>
      <w:r w:rsidR="007858D3">
        <w:t>String</w:t>
      </w:r>
      <w:proofErr w:type="spellEnd"/>
      <w:r w:rsidR="007858D3">
        <w:t>&gt; che contiene i tipi di dato utilizzati dal servizio.</w:t>
      </w:r>
    </w:p>
    <w:p w:rsidR="00A30E21" w:rsidRDefault="00A30E21" w:rsidP="00A30E21">
      <w:pPr>
        <w:pStyle w:val="Heading2"/>
      </w:pPr>
      <w:r>
        <w:lastRenderedPageBreak/>
        <w:t>5.10 ServiceRegistry</w:t>
      </w:r>
      <w:bookmarkEnd w:id="42"/>
    </w:p>
    <w:p w:rsidR="00A30E21" w:rsidRDefault="00A30E21" w:rsidP="00A30E21">
      <w:pPr>
        <w:keepNext/>
        <w:jc w:val="center"/>
      </w:pPr>
      <w:r>
        <w:rPr>
          <w:noProof/>
        </w:rPr>
        <w:drawing>
          <wp:inline distT="0" distB="0" distL="0" distR="0">
            <wp:extent cx="3467735" cy="3218180"/>
            <wp:effectExtent l="0" t="0" r="0" b="1270"/>
            <wp:docPr id="16" name="Picture 16" descr="C:\Users\Giada\AppData\Local\Microsoft\Windows\INetCacheContent.Word\Service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ada\AppData\Local\Microsoft\Windows\INetCacheContent.Word\ServiceRegist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7735" cy="3218180"/>
                    </a:xfrm>
                    <a:prstGeom prst="rect">
                      <a:avLst/>
                    </a:prstGeom>
                    <a:noFill/>
                    <a:ln>
                      <a:noFill/>
                    </a:ln>
                  </pic:spPr>
                </pic:pic>
              </a:graphicData>
            </a:graphic>
          </wp:inline>
        </w:drawing>
      </w:r>
    </w:p>
    <w:p w:rsidR="00A30E21" w:rsidRDefault="00A30E21" w:rsidP="00A30E21">
      <w:pPr>
        <w:pStyle w:val="Caption"/>
        <w:jc w:val="center"/>
        <w:rPr>
          <w:noProof/>
        </w:rPr>
      </w:pPr>
      <w:r>
        <w:t xml:space="preserve">Figura </w:t>
      </w:r>
      <w:r w:rsidR="009509B6">
        <w:fldChar w:fldCharType="begin"/>
      </w:r>
      <w:r w:rsidR="009509B6">
        <w:instrText xml:space="preserve"> SEQ Figura \* ARABIC </w:instrText>
      </w:r>
      <w:r w:rsidR="009509B6">
        <w:fldChar w:fldCharType="separate"/>
      </w:r>
      <w:r>
        <w:rPr>
          <w:noProof/>
        </w:rPr>
        <w:t>14</w:t>
      </w:r>
      <w:r w:rsidR="009509B6">
        <w:rPr>
          <w:noProof/>
        </w:rPr>
        <w:fldChar w:fldCharType="end"/>
      </w:r>
    </w:p>
    <w:p w:rsidR="001879BC" w:rsidRDefault="001879BC" w:rsidP="001879BC">
      <w:r>
        <w:t xml:space="preserve">Ogni servizio che voglia essere utilizzabile all’interno dell’infrastruttura </w:t>
      </w:r>
      <w:proofErr w:type="spellStart"/>
      <w:r>
        <w:t>MyData</w:t>
      </w:r>
      <w:proofErr w:type="spellEnd"/>
      <w:r>
        <w:t xml:space="preserve"> deve, per prima cosa, registrarsi all’interno del Service </w:t>
      </w:r>
      <w:proofErr w:type="spellStart"/>
      <w:r>
        <w:t>Registry</w:t>
      </w:r>
      <w:proofErr w:type="spellEnd"/>
      <w:r>
        <w:t xml:space="preserve">. In fase di registrazione, ogni servizio dichiara inoltre i tipi di dato necessari per il suo funzionamento, al fine di agevolare gli scambi di dati con altre entità dell’infrastruttura, siano esse Source o </w:t>
      </w:r>
      <w:proofErr w:type="spellStart"/>
      <w:r>
        <w:t>Sink</w:t>
      </w:r>
      <w:proofErr w:type="spellEnd"/>
      <w:r>
        <w:t>.</w:t>
      </w:r>
    </w:p>
    <w:p w:rsidR="001879BC" w:rsidRDefault="001879BC" w:rsidP="001879BC">
      <w:r>
        <w:t xml:space="preserve">Per questo motivo, la classe </w:t>
      </w:r>
      <w:proofErr w:type="spellStart"/>
      <w:r>
        <w:t>ServiceRegistry</w:t>
      </w:r>
      <w:proofErr w:type="spellEnd"/>
      <w:r>
        <w:t xml:space="preserve"> ha come responsabilità fondamentale quella di mantenere al suo interno le corrispondenze fra i servizi registrati e i tipi di dato: ciò viene realizzato mediante l’utilizzo di una </w:t>
      </w:r>
      <w:proofErr w:type="spellStart"/>
      <w:r>
        <w:t>Map</w:t>
      </w:r>
      <w:proofErr w:type="spellEnd"/>
      <w:r>
        <w:t>&lt;</w:t>
      </w:r>
      <w:proofErr w:type="spellStart"/>
      <w:r>
        <w:t>IService</w:t>
      </w:r>
      <w:proofErr w:type="spellEnd"/>
      <w:r>
        <w:t>, Set&lt;</w:t>
      </w:r>
      <w:proofErr w:type="spellStart"/>
      <w:r>
        <w:t>String</w:t>
      </w:r>
      <w:proofErr w:type="spellEnd"/>
      <w:r>
        <w:t>&gt;&gt;.</w:t>
      </w:r>
    </w:p>
    <w:p w:rsidR="001879BC" w:rsidRPr="001879BC" w:rsidRDefault="001879BC" w:rsidP="001879BC">
      <w:r>
        <w:t xml:space="preserve">Come per la classe </w:t>
      </w:r>
      <w:proofErr w:type="spellStart"/>
      <w:r>
        <w:t>ConsentManager</w:t>
      </w:r>
      <w:proofErr w:type="spellEnd"/>
      <w:r>
        <w:t xml:space="preserve"> (analizzata più in dettaglio nella sottosezione 551)</w:t>
      </w:r>
      <w:r w:rsidR="00533925">
        <w:t xml:space="preserve">, anche in questo caso ho cercato di rendere il Service </w:t>
      </w:r>
      <w:proofErr w:type="spellStart"/>
      <w:r w:rsidR="00533925">
        <w:t>Registry</w:t>
      </w:r>
      <w:proofErr w:type="spellEnd"/>
      <w:r w:rsidR="00533925">
        <w:t xml:space="preserve"> il più possibile indipendente tramite l’uso di metodi statici e la scelta di un costruttore privato. I metodi </w:t>
      </w:r>
      <w:proofErr w:type="spellStart"/>
      <w:r w:rsidR="00533925" w:rsidRPr="00533925">
        <w:t>registerService</w:t>
      </w:r>
      <w:proofErr w:type="spellEnd"/>
      <w:r w:rsidR="00533925" w:rsidRPr="00533925">
        <w:t>(</w:t>
      </w:r>
      <w:proofErr w:type="spellStart"/>
      <w:r w:rsidR="00533925" w:rsidRPr="00533925">
        <w:t>IService</w:t>
      </w:r>
      <w:proofErr w:type="spellEnd"/>
      <w:r w:rsidR="00533925" w:rsidRPr="00533925">
        <w:t xml:space="preserve"> service, Set&lt;</w:t>
      </w:r>
      <w:proofErr w:type="spellStart"/>
      <w:r w:rsidR="00533925" w:rsidRPr="00533925">
        <w:t>String</w:t>
      </w:r>
      <w:proofErr w:type="spellEnd"/>
      <w:r w:rsidR="00533925" w:rsidRPr="00533925">
        <w:t xml:space="preserve">&gt; </w:t>
      </w:r>
      <w:proofErr w:type="spellStart"/>
      <w:r w:rsidR="00533925" w:rsidRPr="00533925">
        <w:t>types</w:t>
      </w:r>
      <w:proofErr w:type="spellEnd"/>
      <w:r w:rsidR="00533925" w:rsidRPr="00533925">
        <w:t>) e Set&lt;</w:t>
      </w:r>
      <w:proofErr w:type="spellStart"/>
      <w:r w:rsidR="00533925" w:rsidRPr="00533925">
        <w:t>String</w:t>
      </w:r>
      <w:proofErr w:type="spellEnd"/>
      <w:r w:rsidR="00533925" w:rsidRPr="00533925">
        <w:t xml:space="preserve">&gt; </w:t>
      </w:r>
      <w:proofErr w:type="spellStart"/>
      <w:r w:rsidR="00533925" w:rsidRPr="00533925">
        <w:t>getMetadataForService</w:t>
      </w:r>
      <w:proofErr w:type="spellEnd"/>
      <w:r w:rsidR="00533925" w:rsidRPr="00533925">
        <w:t>(</w:t>
      </w:r>
      <w:proofErr w:type="spellStart"/>
      <w:r w:rsidR="00533925" w:rsidRPr="00533925">
        <w:t>IService</w:t>
      </w:r>
      <w:proofErr w:type="spellEnd"/>
      <w:r w:rsidR="00533925" w:rsidRPr="00533925">
        <w:t xml:space="preserve"> service)</w:t>
      </w:r>
      <w:r w:rsidR="00533925">
        <w:t xml:space="preserve"> incapsulano quelli di basso livello esposti dalla struttura dati </w:t>
      </w:r>
      <w:proofErr w:type="spellStart"/>
      <w:r w:rsidR="00533925">
        <w:t>Map</w:t>
      </w:r>
      <w:proofErr w:type="spellEnd"/>
      <w:r w:rsidR="00533925">
        <w:t xml:space="preserve">, aggiungendo gli opportuni controlli sui parametri in ingresso. In particolare, è possibile registrare un servizio mediante la procedura </w:t>
      </w:r>
      <w:proofErr w:type="spellStart"/>
      <w:r w:rsidR="00533925">
        <w:t>registerService</w:t>
      </w:r>
      <w:proofErr w:type="spellEnd"/>
      <w:r w:rsidR="00533925">
        <w:t xml:space="preserve">, e ottenere i tipi di dato registrati mediante la funzione </w:t>
      </w:r>
      <w:proofErr w:type="spellStart"/>
      <w:r w:rsidR="00533925" w:rsidRPr="00533925">
        <w:t>getMetadataForService</w:t>
      </w:r>
      <w:proofErr w:type="spellEnd"/>
      <w:r w:rsidR="00533925">
        <w:t xml:space="preserve">. </w:t>
      </w:r>
    </w:p>
    <w:p w:rsidR="009F0182" w:rsidRDefault="00A30E21" w:rsidP="009F0182">
      <w:pPr>
        <w:pStyle w:val="Heading2"/>
      </w:pPr>
      <w:bookmarkStart w:id="43" w:name="_Toc466904567"/>
      <w:r>
        <w:lastRenderedPageBreak/>
        <w:t>5.11</w:t>
      </w:r>
      <w:r w:rsidR="009F0182">
        <w:t xml:space="preserve"> Uso delle eccezioni</w:t>
      </w:r>
      <w:bookmarkEnd w:id="43"/>
    </w:p>
    <w:p w:rsidR="00C24321" w:rsidRDefault="009958C1" w:rsidP="000D3BF9">
      <w:r>
        <w:t>All’interno del gestore di dati personali sviluppato nell’ambito della tesi in oggetto, è di importanza non trascurabile il controllo della legittimità delle operazioni da eseguire, degli argomenti in ingresso alle funzioni o degli stati in cui si trova il gestore stesso.</w:t>
      </w:r>
      <w:r w:rsidR="00146C35">
        <w:t xml:space="preserve"> Pertanto, è necessario uno strumento che permetta di descrivere il verificarsi di situazioni non previste o illegittime, impedendo la continuazione del flusso del programma.</w:t>
      </w:r>
      <w:r w:rsidR="00C24321">
        <w:t xml:space="preserve"> Questa situazione è diversa, ad esempio, dal caso in cui l’invocazione di un metodo è legittima ma non produce alcuni risultato, poiché è di fondamentale importanza che l’esecuzione termini.</w:t>
      </w:r>
    </w:p>
    <w:p w:rsidR="0084297A" w:rsidRDefault="00C24321" w:rsidP="000D3BF9">
      <w:r>
        <w:t xml:space="preserve">Lo strumento utilizzato per ottenere questa caratteristica sono le Java </w:t>
      </w:r>
      <w:proofErr w:type="spellStart"/>
      <w:r>
        <w:t>Exception</w:t>
      </w:r>
      <w:proofErr w:type="spellEnd"/>
      <w:r>
        <w:t>, ed in p</w:t>
      </w:r>
      <w:r w:rsidR="009A4940">
        <w:t xml:space="preserve">articolare le sottoclassi di </w:t>
      </w:r>
      <w:proofErr w:type="spellStart"/>
      <w:r w:rsidR="009A4940">
        <w:t>RuntimeException</w:t>
      </w:r>
      <w:proofErr w:type="spellEnd"/>
      <w:r w:rsidR="009A4940">
        <w:t xml:space="preserve"> </w:t>
      </w:r>
      <w:proofErr w:type="spellStart"/>
      <w:r w:rsidR="009A4940">
        <w:t>IllegalArgumentException</w:t>
      </w:r>
      <w:proofErr w:type="spellEnd"/>
      <w:r w:rsidR="009A4940">
        <w:t xml:space="preserve"> e </w:t>
      </w:r>
      <w:proofErr w:type="spellStart"/>
      <w:r w:rsidR="009A4940">
        <w:t>IllegalStateException</w:t>
      </w:r>
      <w:proofErr w:type="spellEnd"/>
      <w:r w:rsidR="009A4940">
        <w:t xml:space="preserve">. </w:t>
      </w:r>
    </w:p>
    <w:p w:rsidR="009B2B07" w:rsidRPr="009B2B07" w:rsidRDefault="009B2B07" w:rsidP="000D3BF9">
      <w:r>
        <w:t xml:space="preserve">Fra di esse, </w:t>
      </w:r>
      <w:proofErr w:type="spellStart"/>
      <w:r>
        <w:t>IllegalStateException</w:t>
      </w:r>
      <w:proofErr w:type="spellEnd"/>
      <w:r>
        <w:t xml:space="preserve"> è descritta all’interno della documentazione Java nel modo seguente: “</w:t>
      </w:r>
      <w:proofErr w:type="spellStart"/>
      <w:r>
        <w:t>Signals</w:t>
      </w:r>
      <w:proofErr w:type="spellEnd"/>
      <w:r>
        <w:t xml:space="preserve"> </w:t>
      </w:r>
      <w:proofErr w:type="spellStart"/>
      <w:r>
        <w:t>that</w:t>
      </w:r>
      <w:proofErr w:type="spellEnd"/>
      <w:r>
        <w:t xml:space="preserve"> a </w:t>
      </w:r>
      <w:proofErr w:type="spellStart"/>
      <w:r>
        <w:t>method</w:t>
      </w:r>
      <w:proofErr w:type="spellEnd"/>
      <w:r>
        <w:t xml:space="preserve"> </w:t>
      </w:r>
      <w:proofErr w:type="spellStart"/>
      <w:r>
        <w:t>has</w:t>
      </w:r>
      <w:proofErr w:type="spellEnd"/>
      <w:r>
        <w:t xml:space="preserve"> </w:t>
      </w:r>
      <w:proofErr w:type="spellStart"/>
      <w:r>
        <w:t>been</w:t>
      </w:r>
      <w:proofErr w:type="spellEnd"/>
      <w:r>
        <w:t xml:space="preserve"> </w:t>
      </w:r>
      <w:proofErr w:type="spellStart"/>
      <w:r>
        <w:t>invoked</w:t>
      </w:r>
      <w:proofErr w:type="spellEnd"/>
      <w:r>
        <w:t xml:space="preserve"> </w:t>
      </w:r>
      <w:proofErr w:type="spellStart"/>
      <w:r>
        <w:t>at</w:t>
      </w:r>
      <w:proofErr w:type="spellEnd"/>
      <w:r>
        <w:t xml:space="preserve"> an </w:t>
      </w:r>
      <w:proofErr w:type="spellStart"/>
      <w:r>
        <w:t>illegal</w:t>
      </w:r>
      <w:proofErr w:type="spellEnd"/>
      <w:r>
        <w:t xml:space="preserve"> or inappropriate time. </w:t>
      </w:r>
      <w:r w:rsidRPr="009B2B07">
        <w:rPr>
          <w:lang w:val="en-GB"/>
        </w:rPr>
        <w:t>In other words, the Java environment or Java application is not in an appropriate st</w:t>
      </w:r>
      <w:r>
        <w:rPr>
          <w:lang w:val="en-GB"/>
        </w:rPr>
        <w:t xml:space="preserve">ate for the requested operation”. </w:t>
      </w:r>
      <w:r w:rsidRPr="009B2B07">
        <w:t xml:space="preserve">Ho valutato quindi che questa eccezione fosse adeguata </w:t>
      </w:r>
      <w:r>
        <w:t xml:space="preserve">in tutti quei casi in cui l’invocazione di un metodo non può essere portata a termine a causa di </w:t>
      </w:r>
      <w:proofErr w:type="spellStart"/>
      <w:r>
        <w:t>Consent</w:t>
      </w:r>
      <w:proofErr w:type="spellEnd"/>
      <w:r>
        <w:t xml:space="preserve"> non adeguati.</w:t>
      </w:r>
      <w:r w:rsidR="0084297A">
        <w:t xml:space="preserve"> Un esempio può essere la richiesta di un nuovo </w:t>
      </w:r>
      <w:proofErr w:type="spellStart"/>
      <w:r w:rsidR="0084297A">
        <w:t>DataConsent</w:t>
      </w:r>
      <w:proofErr w:type="spellEnd"/>
      <w:r w:rsidR="0084297A">
        <w:t xml:space="preserve"> nel caso in cui non vi sia un </w:t>
      </w:r>
      <w:proofErr w:type="spellStart"/>
      <w:r w:rsidR="0084297A">
        <w:t>ServiceConsent</w:t>
      </w:r>
      <w:proofErr w:type="spellEnd"/>
      <w:r w:rsidR="0084297A">
        <w:t xml:space="preserve"> attivo in quel momento.</w:t>
      </w:r>
    </w:p>
    <w:p w:rsidR="0084297A" w:rsidRDefault="0084297A" w:rsidP="000D3BF9">
      <w:r>
        <w:t>L</w:t>
      </w:r>
      <w:r w:rsidR="009A4940">
        <w:t xml:space="preserve">’uso di </w:t>
      </w:r>
      <w:proofErr w:type="spellStart"/>
      <w:r w:rsidR="009A4940">
        <w:t>IllegalArgumentException</w:t>
      </w:r>
      <w:proofErr w:type="spellEnd"/>
      <w:r w:rsidR="009A4940">
        <w:t xml:space="preserve"> è convenzionalmente limitato al controllo dei parametri in ingresso </w:t>
      </w:r>
      <w:r w:rsidR="009B2B07">
        <w:t xml:space="preserve">ai metodi, </w:t>
      </w:r>
      <w:r>
        <w:t xml:space="preserve">in aderenza a quanto dichiarato sulla documentazione Java. </w:t>
      </w:r>
      <w:r w:rsidR="005C2526">
        <w:t>Fra le</w:t>
      </w:r>
      <w:r>
        <w:t xml:space="preserve"> </w:t>
      </w:r>
      <w:proofErr w:type="spellStart"/>
      <w:r>
        <w:t>RuntimeException</w:t>
      </w:r>
      <w:proofErr w:type="spellEnd"/>
      <w:r>
        <w:t xml:space="preserve"> utilizzat</w:t>
      </w:r>
      <w:r w:rsidR="005C2526">
        <w:t>e</w:t>
      </w:r>
      <w:r>
        <w:t xml:space="preserve"> è</w:t>
      </w:r>
      <w:r w:rsidR="005C2526">
        <w:t xml:space="preserve"> presente anche</w:t>
      </w:r>
      <w:r>
        <w:t xml:space="preserve"> </w:t>
      </w:r>
      <w:proofErr w:type="spellStart"/>
      <w:r>
        <w:t>SecurityException</w:t>
      </w:r>
      <w:proofErr w:type="spellEnd"/>
      <w:r>
        <w:t>, invocata ogni volta in cui un parametro o controllo di sicurezza non è verificato.</w:t>
      </w:r>
    </w:p>
    <w:p w:rsidR="000807A8" w:rsidRDefault="0084297A" w:rsidP="000D3BF9">
      <w:r>
        <w:t xml:space="preserve">Un aspetto importante dell’uso delle eccezioni è stata la loro collocazione all’interno dello </w:t>
      </w:r>
      <w:proofErr w:type="spellStart"/>
      <w:r>
        <w:t>stack</w:t>
      </w:r>
      <w:proofErr w:type="spellEnd"/>
      <w:r>
        <w:t xml:space="preserve"> delle invocazioni di metodi. </w:t>
      </w:r>
      <w:r w:rsidR="00D7044B">
        <w:t xml:space="preserve">Si prenda di nuovo come esempio il caso di richiesta di un nuovo </w:t>
      </w:r>
      <w:proofErr w:type="spellStart"/>
      <w:r w:rsidR="00D7044B">
        <w:t>DataConsent</w:t>
      </w:r>
      <w:proofErr w:type="spellEnd"/>
      <w:r w:rsidR="00D7044B">
        <w:t xml:space="preserve">: è noto a priori che la precondizione per ottenerlo richiede l’esistenza di un </w:t>
      </w:r>
      <w:proofErr w:type="spellStart"/>
      <w:r w:rsidR="00D7044B">
        <w:t>ServiceConsent</w:t>
      </w:r>
      <w:proofErr w:type="spellEnd"/>
      <w:r w:rsidR="00D7044B">
        <w:t xml:space="preserve"> attivo in quel momento. Questa eventualità è controllata all’interno della classe </w:t>
      </w:r>
      <w:proofErr w:type="spellStart"/>
      <w:r w:rsidR="00D7044B">
        <w:t>ConsentManager</w:t>
      </w:r>
      <w:proofErr w:type="spellEnd"/>
      <w:r w:rsidR="00D7044B">
        <w:t xml:space="preserve"> mediante l’uso di una </w:t>
      </w:r>
      <w:proofErr w:type="spellStart"/>
      <w:r w:rsidR="00D7044B">
        <w:t>IllegalStateException</w:t>
      </w:r>
      <w:proofErr w:type="spellEnd"/>
      <w:r w:rsidR="00D7044B">
        <w:t xml:space="preserve">. Tuttavia esiste un sotto-caso che, pur rientrando a pieno titolo nell’insieme di situazioni non corrette (mancanza di un </w:t>
      </w:r>
      <w:proofErr w:type="spellStart"/>
      <w:r w:rsidR="00D7044B">
        <w:t>ServiceConsent</w:t>
      </w:r>
      <w:proofErr w:type="spellEnd"/>
      <w:r w:rsidR="00D7044B">
        <w:t xml:space="preserve"> attivo) merita di essere differenziato per il suo valore semantico. Si tratta infatti del caso in cui </w:t>
      </w:r>
      <w:r w:rsidR="00D7044B">
        <w:lastRenderedPageBreak/>
        <w:t xml:space="preserve">l’utente per cui si sta facendo richiesta non sia registrato presso il servizio: il </w:t>
      </w:r>
      <w:proofErr w:type="spellStart"/>
      <w:r w:rsidR="00D7044B">
        <w:t>ServiceConsent</w:t>
      </w:r>
      <w:proofErr w:type="spellEnd"/>
      <w:r w:rsidR="00D7044B">
        <w:t xml:space="preserve"> non ha stato Active perché in realtà non ne è stato emesso alcuno. Al fine di controllare anche questa eventualità è opportuno inserire una eccezione nella classe </w:t>
      </w:r>
      <w:proofErr w:type="spellStart"/>
      <w:r w:rsidR="00D7044B">
        <w:t>MyDataUser</w:t>
      </w:r>
      <w:proofErr w:type="spellEnd"/>
      <w:r w:rsidR="00D7044B">
        <w:t xml:space="preserve">, non </w:t>
      </w:r>
      <w:proofErr w:type="spellStart"/>
      <w:r w:rsidR="00D7044B">
        <w:t>ConsentManager</w:t>
      </w:r>
      <w:proofErr w:type="spellEnd"/>
      <w:r w:rsidR="005C2526">
        <w:t>, in quanto essa rientra all’interno delle sue responsabilità.</w:t>
      </w:r>
    </w:p>
    <w:p w:rsidR="00EF0A1D" w:rsidRDefault="00EF0A1D" w:rsidP="00EF0A1D">
      <w:pPr>
        <w:pStyle w:val="Heading2"/>
      </w:pPr>
      <w:r>
        <w:t>Graphical User Interface</w:t>
      </w:r>
    </w:p>
    <w:p w:rsidR="00F031EF" w:rsidRPr="00F031EF" w:rsidRDefault="00F031EF" w:rsidP="00F031EF">
      <w:r>
        <w:t xml:space="preserve">//grafico </w:t>
      </w:r>
      <w:proofErr w:type="spellStart"/>
      <w:r>
        <w:t>uml</w:t>
      </w:r>
      <w:proofErr w:type="spellEnd"/>
    </w:p>
    <w:p w:rsidR="00EF0A1D" w:rsidRDefault="00EF0A1D" w:rsidP="00EF0A1D">
      <w:r>
        <w:t xml:space="preserve">Per la realizzazione dell’interfaccia grafica del gestore di dati personali ho scelto il design pattern </w:t>
      </w:r>
      <w:r w:rsidR="00584540">
        <w:t xml:space="preserve">Model </w:t>
      </w:r>
      <w:proofErr w:type="spellStart"/>
      <w:r w:rsidR="00584540">
        <w:t>View</w:t>
      </w:r>
      <w:proofErr w:type="spellEnd"/>
      <w:r w:rsidR="00584540">
        <w:t xml:space="preserve"> Contr</w:t>
      </w:r>
      <w:r w:rsidR="002C4371">
        <w:t xml:space="preserve">oller. Questo viene </w:t>
      </w:r>
      <w:r w:rsidR="00F031EF">
        <w:t>impiegato</w:t>
      </w:r>
      <w:r w:rsidR="002C4371">
        <w:t xml:space="preserve"> anche all’interno di </w:t>
      </w:r>
      <w:proofErr w:type="spellStart"/>
      <w:r w:rsidR="002C4371">
        <w:t>Most</w:t>
      </w:r>
      <w:proofErr w:type="spellEnd"/>
      <w:r w:rsidR="002C4371">
        <w:t xml:space="preserve"> </w:t>
      </w:r>
      <w:proofErr w:type="spellStart"/>
      <w:r w:rsidR="002C4371">
        <w:t>Likely</w:t>
      </w:r>
      <w:proofErr w:type="spellEnd"/>
      <w:r w:rsidR="002C4371">
        <w:t xml:space="preserve"> </w:t>
      </w:r>
      <w:proofErr w:type="spellStart"/>
      <w:r w:rsidR="002C4371">
        <w:t>Next</w:t>
      </w:r>
      <w:proofErr w:type="spellEnd"/>
      <w:r w:rsidR="002C4371">
        <w:t xml:space="preserve"> Trip \</w:t>
      </w:r>
      <w:proofErr w:type="spellStart"/>
      <w:r w:rsidR="002C4371">
        <w:t>cite</w:t>
      </w:r>
      <w:proofErr w:type="spellEnd"/>
      <w:r w:rsidR="002C4371">
        <w:t>{}, del quale si è utilizzata</w:t>
      </w:r>
      <w:r w:rsidR="00CA29AF">
        <w:t xml:space="preserve"> la schermata di funzionamento per i</w:t>
      </w:r>
      <w:r w:rsidR="002C4371">
        <w:t>l</w:t>
      </w:r>
      <w:r w:rsidR="00F031EF">
        <w:t xml:space="preserve"> servizio omonimo. </w:t>
      </w:r>
    </w:p>
    <w:p w:rsidR="00F031EF" w:rsidRDefault="00CA29AF" w:rsidP="00EF0A1D">
      <w:r>
        <w:t xml:space="preserve">Ho ritenuto necessario realizzare </w:t>
      </w:r>
      <w:r w:rsidR="00F031EF">
        <w:t>due finestre con le seguenti funzioni:</w:t>
      </w:r>
    </w:p>
    <w:p w:rsidR="00F031EF" w:rsidRDefault="00F031EF" w:rsidP="00EF0A1D">
      <w:r>
        <w:t>\</w:t>
      </w:r>
      <w:proofErr w:type="spellStart"/>
      <w:r>
        <w:t>begin</w:t>
      </w:r>
      <w:proofErr w:type="spellEnd"/>
      <w:r>
        <w:t>{}</w:t>
      </w:r>
    </w:p>
    <w:p w:rsidR="00F031EF" w:rsidRDefault="00F031EF" w:rsidP="00EF0A1D">
      <w:r>
        <w:t>\item Una schermata per login e registrazione;</w:t>
      </w:r>
    </w:p>
    <w:p w:rsidR="00F031EF" w:rsidRDefault="00F031EF" w:rsidP="00EF0A1D">
      <w:r>
        <w:t>\item Una schermata per il profilo utente, c</w:t>
      </w:r>
      <w:r w:rsidR="007A2B9B">
        <w:t>he mostri i servizi attivi e abiliti</w:t>
      </w:r>
      <w:r>
        <w:t>, o disabiliti, determinati bottoni a seconda dello stato corrente del</w:t>
      </w:r>
      <w:r w:rsidR="007A2B9B">
        <w:t>l’esecuzione.</w:t>
      </w:r>
    </w:p>
    <w:p w:rsidR="007A2B9B" w:rsidRDefault="007A2B9B" w:rsidP="00EF0A1D">
      <w:r>
        <w:t>\end{}</w:t>
      </w:r>
    </w:p>
    <w:p w:rsidR="007A2B9B" w:rsidRDefault="007A2B9B" w:rsidP="00EF0A1D">
      <w:r>
        <w:t>A ciò si deve aggiungere la schermata del servizio, che viene mostrata ad ogni sua invocazione.</w:t>
      </w:r>
    </w:p>
    <w:p w:rsidR="007A2B9B" w:rsidRDefault="007A2B9B" w:rsidP="00EF0A1D">
      <w:r>
        <w:t>Il Controller ha lo sc</w:t>
      </w:r>
      <w:r w:rsidR="002E3AD2">
        <w:t xml:space="preserve">opo di gestire la </w:t>
      </w:r>
      <w:proofErr w:type="spellStart"/>
      <w:r w:rsidR="002E3AD2">
        <w:t>View</w:t>
      </w:r>
      <w:proofErr w:type="spellEnd"/>
      <w:r w:rsidR="002E3AD2">
        <w:t xml:space="preserve"> e di permettere una comunicazione con il Model: </w:t>
      </w:r>
      <w:r w:rsidR="00207A65">
        <w:t>in questo caso</w:t>
      </w:r>
      <w:r w:rsidR="002E3AD2">
        <w:t xml:space="preserve">, esso si interfaccia quasi unicamente con la classe </w:t>
      </w:r>
      <w:proofErr w:type="spellStart"/>
      <w:r w:rsidR="002E3AD2">
        <w:t>MyData</w:t>
      </w:r>
      <w:proofErr w:type="spellEnd"/>
      <w:r w:rsidR="002E3AD2">
        <w:t>, confermando il suo ruolo centrale di gestione.</w:t>
      </w:r>
    </w:p>
    <w:p w:rsidR="00EC322F" w:rsidRDefault="00EC322F" w:rsidP="00EF0A1D">
      <w:bookmarkStart w:id="44" w:name="_GoBack"/>
      <w:r>
        <w:t xml:space="preserve">La </w:t>
      </w:r>
      <w:proofErr w:type="spellStart"/>
      <w:r>
        <w:t>View</w:t>
      </w:r>
      <w:proofErr w:type="spellEnd"/>
      <w:r>
        <w:t xml:space="preserve"> mostra il profilo dell’utente loggato, permettendogli la gestione dei servizi a cui si è registrato. È possibile aggiungere nuovi servizi (funzione implementata tramite </w:t>
      </w:r>
      <w:proofErr w:type="spellStart"/>
      <w:r>
        <w:t>mock</w:t>
      </w:r>
      <w:proofErr w:type="spellEnd"/>
      <w:r>
        <w:t xml:space="preserve"> per mancanza di Service </w:t>
      </w:r>
      <w:proofErr w:type="spellStart"/>
      <w:r>
        <w:t>Linking</w:t>
      </w:r>
      <w:proofErr w:type="spellEnd"/>
      <w:r>
        <w:t xml:space="preserve">), visualizzare le autorizzazioni emesse modificare il loro </w:t>
      </w:r>
      <w:r w:rsidR="00221524">
        <w:t>stato.</w:t>
      </w:r>
    </w:p>
    <w:p w:rsidR="00221524" w:rsidRPr="00221524" w:rsidRDefault="00221524" w:rsidP="00EF0A1D">
      <w:pPr>
        <w:rPr>
          <w:lang w:val="en-GB"/>
        </w:rPr>
      </w:pPr>
      <w:r w:rsidRPr="00221524">
        <w:rPr>
          <w:lang w:val="en-GB"/>
        </w:rPr>
        <w:t xml:space="preserve">\fig view </w:t>
      </w:r>
      <w:proofErr w:type="spellStart"/>
      <w:r w:rsidRPr="00221524">
        <w:rPr>
          <w:lang w:val="en-GB"/>
        </w:rPr>
        <w:t>profilo</w:t>
      </w:r>
      <w:proofErr w:type="spellEnd"/>
      <w:r w:rsidRPr="00221524">
        <w:rPr>
          <w:lang w:val="en-GB"/>
        </w:rPr>
        <w:t>, \fig view consent</w:t>
      </w:r>
    </w:p>
    <w:p w:rsidR="00221524" w:rsidRPr="00221524" w:rsidRDefault="00221524" w:rsidP="00EF0A1D">
      <w:r w:rsidRPr="00221524">
        <w:t>Nella figura \</w:t>
      </w:r>
      <w:proofErr w:type="spellStart"/>
      <w:r w:rsidRPr="00221524">
        <w:t>ref</w:t>
      </w:r>
      <w:proofErr w:type="spellEnd"/>
      <w:r w:rsidRPr="00221524">
        <w:t xml:space="preserve">{} vediamo il </w:t>
      </w:r>
      <w:proofErr w:type="spellStart"/>
      <w:r w:rsidRPr="00221524">
        <w:t>profile</w:t>
      </w:r>
      <w:proofErr w:type="spellEnd"/>
      <w:r w:rsidRPr="00221524">
        <w:t xml:space="preserve"> utente: dal </w:t>
      </w:r>
      <w:proofErr w:type="spellStart"/>
      <w:r w:rsidRPr="00221524">
        <w:t>menù</w:t>
      </w:r>
      <w:proofErr w:type="spellEnd"/>
      <w:r w:rsidRPr="00221524">
        <w:t xml:space="preserve"> a tendina in alto è possibile scegliere un servizio all’</w:t>
      </w:r>
      <w:r>
        <w:t>intern</w:t>
      </w:r>
      <w:r w:rsidRPr="00221524">
        <w:t xml:space="preserve">o di quelli registrati; subito sotto sono presenti alcuni </w:t>
      </w:r>
      <w:r w:rsidRPr="00221524">
        <w:lastRenderedPageBreak/>
        <w:t>comandi per la gestione del suo stato (</w:t>
      </w:r>
      <w:r>
        <w:t xml:space="preserve">è possibile impostare i valori Active, </w:t>
      </w:r>
      <w:proofErr w:type="spellStart"/>
      <w:r>
        <w:t>Disabled</w:t>
      </w:r>
      <w:proofErr w:type="spellEnd"/>
      <w:r>
        <w:t xml:space="preserve">, </w:t>
      </w:r>
      <w:proofErr w:type="spellStart"/>
      <w:r>
        <w:t>Withdrawn</w:t>
      </w:r>
      <w:proofErr w:type="spellEnd"/>
      <w:r>
        <w:t>)</w:t>
      </w:r>
      <w:r w:rsidR="00105882">
        <w:t xml:space="preserve"> e per l’emissione di nuove autorizzazioni in caso di necessità. È presente inoltre una casella di testo in cui sono mostrati tutti i </w:t>
      </w:r>
      <w:proofErr w:type="spellStart"/>
      <w:r w:rsidR="00105882">
        <w:t>ServiceConsent</w:t>
      </w:r>
      <w:proofErr w:type="spellEnd"/>
      <w:r w:rsidR="00105882">
        <w:t xml:space="preserve"> relativi al servizio selezionato, e tramite la pressione di un bottone si apre una nuova finestra che mostra i </w:t>
      </w:r>
      <w:proofErr w:type="spellStart"/>
      <w:r w:rsidR="00105882">
        <w:t>DataConsent</w:t>
      </w:r>
      <w:proofErr w:type="spellEnd"/>
      <w:r w:rsidR="00105882">
        <w:t xml:space="preserve"> relativi \</w:t>
      </w:r>
      <w:proofErr w:type="spellStart"/>
      <w:r w:rsidR="00105882">
        <w:t>ref</w:t>
      </w:r>
      <w:proofErr w:type="spellEnd"/>
      <w:r w:rsidR="00105882">
        <w:t xml:space="preserve">{}. Infine, si trovano i bottoni per invocare il servizio e il Service </w:t>
      </w:r>
      <w:proofErr w:type="spellStart"/>
      <w:r w:rsidR="00105882">
        <w:t>Registry</w:t>
      </w:r>
      <w:proofErr w:type="spellEnd"/>
      <w:r w:rsidR="00105882">
        <w:t>.</w:t>
      </w:r>
      <w:bookmarkEnd w:id="44"/>
    </w:p>
    <w:sectPr w:rsidR="00221524" w:rsidRPr="00221524"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325A1"/>
    <w:rsid w:val="000411D9"/>
    <w:rsid w:val="00054861"/>
    <w:rsid w:val="00065558"/>
    <w:rsid w:val="00077A65"/>
    <w:rsid w:val="000807A8"/>
    <w:rsid w:val="000A0BA4"/>
    <w:rsid w:val="000A1629"/>
    <w:rsid w:val="000C341F"/>
    <w:rsid w:val="000C62DA"/>
    <w:rsid w:val="000C71B7"/>
    <w:rsid w:val="000D016A"/>
    <w:rsid w:val="000D3BF9"/>
    <w:rsid w:val="00100CA9"/>
    <w:rsid w:val="00105882"/>
    <w:rsid w:val="001207A7"/>
    <w:rsid w:val="00131052"/>
    <w:rsid w:val="0013523F"/>
    <w:rsid w:val="00146C35"/>
    <w:rsid w:val="0015021B"/>
    <w:rsid w:val="0017795C"/>
    <w:rsid w:val="001812C3"/>
    <w:rsid w:val="00183EDC"/>
    <w:rsid w:val="00186DEC"/>
    <w:rsid w:val="001879BC"/>
    <w:rsid w:val="001A37BA"/>
    <w:rsid w:val="001A5A64"/>
    <w:rsid w:val="001B1E26"/>
    <w:rsid w:val="001C0B31"/>
    <w:rsid w:val="001C50A9"/>
    <w:rsid w:val="001D4E8E"/>
    <w:rsid w:val="001E744D"/>
    <w:rsid w:val="001F2095"/>
    <w:rsid w:val="001F69A2"/>
    <w:rsid w:val="00207A65"/>
    <w:rsid w:val="00221524"/>
    <w:rsid w:val="00235615"/>
    <w:rsid w:val="00243275"/>
    <w:rsid w:val="00251910"/>
    <w:rsid w:val="00252316"/>
    <w:rsid w:val="002569D5"/>
    <w:rsid w:val="002629AF"/>
    <w:rsid w:val="00262C4F"/>
    <w:rsid w:val="00285308"/>
    <w:rsid w:val="002A1113"/>
    <w:rsid w:val="002A7AFD"/>
    <w:rsid w:val="002C4371"/>
    <w:rsid w:val="002D4202"/>
    <w:rsid w:val="002E3AD2"/>
    <w:rsid w:val="002E478A"/>
    <w:rsid w:val="002E733B"/>
    <w:rsid w:val="002F2BF1"/>
    <w:rsid w:val="002F76B4"/>
    <w:rsid w:val="00305595"/>
    <w:rsid w:val="00314770"/>
    <w:rsid w:val="003276EF"/>
    <w:rsid w:val="00333AEA"/>
    <w:rsid w:val="00340AF4"/>
    <w:rsid w:val="00362547"/>
    <w:rsid w:val="00364C63"/>
    <w:rsid w:val="003658A5"/>
    <w:rsid w:val="0036731E"/>
    <w:rsid w:val="00371985"/>
    <w:rsid w:val="00383011"/>
    <w:rsid w:val="003A48E5"/>
    <w:rsid w:val="003A60A0"/>
    <w:rsid w:val="003B1942"/>
    <w:rsid w:val="003C75A6"/>
    <w:rsid w:val="003D2B17"/>
    <w:rsid w:val="003D4235"/>
    <w:rsid w:val="003F0362"/>
    <w:rsid w:val="003F4C03"/>
    <w:rsid w:val="00411B9E"/>
    <w:rsid w:val="004169FE"/>
    <w:rsid w:val="00417126"/>
    <w:rsid w:val="00420006"/>
    <w:rsid w:val="00420A91"/>
    <w:rsid w:val="00433D29"/>
    <w:rsid w:val="00435612"/>
    <w:rsid w:val="00442454"/>
    <w:rsid w:val="00450D9C"/>
    <w:rsid w:val="004553EA"/>
    <w:rsid w:val="004677E4"/>
    <w:rsid w:val="00470F4F"/>
    <w:rsid w:val="004843A2"/>
    <w:rsid w:val="00487430"/>
    <w:rsid w:val="004A7609"/>
    <w:rsid w:val="004A79BD"/>
    <w:rsid w:val="004A7CD3"/>
    <w:rsid w:val="004C2F10"/>
    <w:rsid w:val="004C568B"/>
    <w:rsid w:val="004D1E81"/>
    <w:rsid w:val="004F0568"/>
    <w:rsid w:val="004F430D"/>
    <w:rsid w:val="004F6C2A"/>
    <w:rsid w:val="004F7F8C"/>
    <w:rsid w:val="00502E06"/>
    <w:rsid w:val="00504333"/>
    <w:rsid w:val="00516752"/>
    <w:rsid w:val="005219DB"/>
    <w:rsid w:val="005314B2"/>
    <w:rsid w:val="00533925"/>
    <w:rsid w:val="00537F60"/>
    <w:rsid w:val="005421DE"/>
    <w:rsid w:val="00550A03"/>
    <w:rsid w:val="00556A34"/>
    <w:rsid w:val="005841EA"/>
    <w:rsid w:val="00584540"/>
    <w:rsid w:val="00584CF5"/>
    <w:rsid w:val="005911FD"/>
    <w:rsid w:val="00595172"/>
    <w:rsid w:val="005A6E41"/>
    <w:rsid w:val="005B00CF"/>
    <w:rsid w:val="005B6953"/>
    <w:rsid w:val="005C2526"/>
    <w:rsid w:val="005D314D"/>
    <w:rsid w:val="005D4CC4"/>
    <w:rsid w:val="00600C9D"/>
    <w:rsid w:val="00604932"/>
    <w:rsid w:val="00605BED"/>
    <w:rsid w:val="0062233E"/>
    <w:rsid w:val="00631F80"/>
    <w:rsid w:val="0064248E"/>
    <w:rsid w:val="00655CAC"/>
    <w:rsid w:val="0065762F"/>
    <w:rsid w:val="00670BEE"/>
    <w:rsid w:val="00670EE9"/>
    <w:rsid w:val="00687B6C"/>
    <w:rsid w:val="0069727F"/>
    <w:rsid w:val="006A1EEE"/>
    <w:rsid w:val="006B377B"/>
    <w:rsid w:val="006B5536"/>
    <w:rsid w:val="006B56D7"/>
    <w:rsid w:val="006C33C4"/>
    <w:rsid w:val="007279B5"/>
    <w:rsid w:val="00730669"/>
    <w:rsid w:val="00742CB0"/>
    <w:rsid w:val="007605E6"/>
    <w:rsid w:val="00772F32"/>
    <w:rsid w:val="00773DA1"/>
    <w:rsid w:val="00785511"/>
    <w:rsid w:val="007858D3"/>
    <w:rsid w:val="00796010"/>
    <w:rsid w:val="007977EA"/>
    <w:rsid w:val="007A2B9B"/>
    <w:rsid w:val="007B0F34"/>
    <w:rsid w:val="007B164D"/>
    <w:rsid w:val="007E5BD1"/>
    <w:rsid w:val="007F52C5"/>
    <w:rsid w:val="00812F33"/>
    <w:rsid w:val="00823F17"/>
    <w:rsid w:val="00824A9B"/>
    <w:rsid w:val="00827503"/>
    <w:rsid w:val="00832E0D"/>
    <w:rsid w:val="00837B11"/>
    <w:rsid w:val="00840964"/>
    <w:rsid w:val="00841D54"/>
    <w:rsid w:val="0084297A"/>
    <w:rsid w:val="00847EAE"/>
    <w:rsid w:val="00874264"/>
    <w:rsid w:val="00880EF3"/>
    <w:rsid w:val="00881962"/>
    <w:rsid w:val="008856FC"/>
    <w:rsid w:val="00892E4A"/>
    <w:rsid w:val="008B6956"/>
    <w:rsid w:val="008C03C6"/>
    <w:rsid w:val="008C0472"/>
    <w:rsid w:val="008C5124"/>
    <w:rsid w:val="008E0151"/>
    <w:rsid w:val="00901995"/>
    <w:rsid w:val="00910790"/>
    <w:rsid w:val="00916656"/>
    <w:rsid w:val="009244C0"/>
    <w:rsid w:val="00937916"/>
    <w:rsid w:val="009509B6"/>
    <w:rsid w:val="009521EC"/>
    <w:rsid w:val="00954ECA"/>
    <w:rsid w:val="009812C2"/>
    <w:rsid w:val="00982AF0"/>
    <w:rsid w:val="009958C1"/>
    <w:rsid w:val="00996C70"/>
    <w:rsid w:val="009A1FC1"/>
    <w:rsid w:val="009A4940"/>
    <w:rsid w:val="009B2B07"/>
    <w:rsid w:val="009C21C0"/>
    <w:rsid w:val="009C2D76"/>
    <w:rsid w:val="009D7026"/>
    <w:rsid w:val="009E231B"/>
    <w:rsid w:val="009E78E0"/>
    <w:rsid w:val="009F0182"/>
    <w:rsid w:val="00A20C40"/>
    <w:rsid w:val="00A20DE1"/>
    <w:rsid w:val="00A30E21"/>
    <w:rsid w:val="00A3125A"/>
    <w:rsid w:val="00A341B2"/>
    <w:rsid w:val="00A4043F"/>
    <w:rsid w:val="00A4441E"/>
    <w:rsid w:val="00A47DD4"/>
    <w:rsid w:val="00AA37AE"/>
    <w:rsid w:val="00AA41D6"/>
    <w:rsid w:val="00AD61C2"/>
    <w:rsid w:val="00AD7BFC"/>
    <w:rsid w:val="00AD7F9C"/>
    <w:rsid w:val="00B0698E"/>
    <w:rsid w:val="00B14469"/>
    <w:rsid w:val="00B22642"/>
    <w:rsid w:val="00B346A5"/>
    <w:rsid w:val="00B3622B"/>
    <w:rsid w:val="00B42F5C"/>
    <w:rsid w:val="00B5530D"/>
    <w:rsid w:val="00B701B8"/>
    <w:rsid w:val="00B76DEA"/>
    <w:rsid w:val="00B81BB4"/>
    <w:rsid w:val="00B84F15"/>
    <w:rsid w:val="00BA2D16"/>
    <w:rsid w:val="00BA4A31"/>
    <w:rsid w:val="00BB5FCF"/>
    <w:rsid w:val="00BC3D2E"/>
    <w:rsid w:val="00BD3D8F"/>
    <w:rsid w:val="00BE1A82"/>
    <w:rsid w:val="00BE4710"/>
    <w:rsid w:val="00BF24A2"/>
    <w:rsid w:val="00C01233"/>
    <w:rsid w:val="00C06E69"/>
    <w:rsid w:val="00C20513"/>
    <w:rsid w:val="00C226F9"/>
    <w:rsid w:val="00C23B18"/>
    <w:rsid w:val="00C24321"/>
    <w:rsid w:val="00C5139A"/>
    <w:rsid w:val="00C53C9C"/>
    <w:rsid w:val="00C5649F"/>
    <w:rsid w:val="00C85BA0"/>
    <w:rsid w:val="00C91C15"/>
    <w:rsid w:val="00C92D60"/>
    <w:rsid w:val="00C95BCB"/>
    <w:rsid w:val="00CA29AF"/>
    <w:rsid w:val="00CA383D"/>
    <w:rsid w:val="00CC241D"/>
    <w:rsid w:val="00CC43A3"/>
    <w:rsid w:val="00CD4D88"/>
    <w:rsid w:val="00CE1F8A"/>
    <w:rsid w:val="00CF0544"/>
    <w:rsid w:val="00CF42DF"/>
    <w:rsid w:val="00CF69DB"/>
    <w:rsid w:val="00D11833"/>
    <w:rsid w:val="00D31B35"/>
    <w:rsid w:val="00D37562"/>
    <w:rsid w:val="00D50C66"/>
    <w:rsid w:val="00D51C71"/>
    <w:rsid w:val="00D62720"/>
    <w:rsid w:val="00D7044B"/>
    <w:rsid w:val="00D77A37"/>
    <w:rsid w:val="00D80CE2"/>
    <w:rsid w:val="00DB1D01"/>
    <w:rsid w:val="00DB1D37"/>
    <w:rsid w:val="00DB2F48"/>
    <w:rsid w:val="00DB3B6A"/>
    <w:rsid w:val="00DB4666"/>
    <w:rsid w:val="00E018C4"/>
    <w:rsid w:val="00E039A9"/>
    <w:rsid w:val="00E10DF1"/>
    <w:rsid w:val="00E30DDC"/>
    <w:rsid w:val="00E3137A"/>
    <w:rsid w:val="00E31A2C"/>
    <w:rsid w:val="00E33816"/>
    <w:rsid w:val="00E369D2"/>
    <w:rsid w:val="00E605D4"/>
    <w:rsid w:val="00E822A1"/>
    <w:rsid w:val="00EA25B1"/>
    <w:rsid w:val="00EA39ED"/>
    <w:rsid w:val="00EA7952"/>
    <w:rsid w:val="00EB7B82"/>
    <w:rsid w:val="00EC322F"/>
    <w:rsid w:val="00EC62D6"/>
    <w:rsid w:val="00EC63DA"/>
    <w:rsid w:val="00EC6FC1"/>
    <w:rsid w:val="00EE5CB1"/>
    <w:rsid w:val="00EE7513"/>
    <w:rsid w:val="00EF08BA"/>
    <w:rsid w:val="00EF0A1D"/>
    <w:rsid w:val="00EF2CB7"/>
    <w:rsid w:val="00EF7AFC"/>
    <w:rsid w:val="00F031EF"/>
    <w:rsid w:val="00F05EB2"/>
    <w:rsid w:val="00F26066"/>
    <w:rsid w:val="00F33D69"/>
    <w:rsid w:val="00F35AF1"/>
    <w:rsid w:val="00F36332"/>
    <w:rsid w:val="00F3671C"/>
    <w:rsid w:val="00F54F5B"/>
    <w:rsid w:val="00F55C73"/>
    <w:rsid w:val="00F63429"/>
    <w:rsid w:val="00F72CF4"/>
    <w:rsid w:val="00FA0D9A"/>
    <w:rsid w:val="00FC61F8"/>
    <w:rsid w:val="00FD6411"/>
    <w:rsid w:val="00FE195D"/>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DC61"/>
  <w15:chartTrackingRefBased/>
  <w15:docId w15:val="{F606CB2E-4CEE-4036-880E-C2B5A59F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EA25B1"/>
    <w:pPr>
      <w:tabs>
        <w:tab w:val="right" w:leader="dot" w:pos="8268"/>
      </w:tabs>
      <w:spacing w:before="0" w:after="0" w:line="240" w:lineRule="auto"/>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EA25B1"/>
    <w:pPr>
      <w:tabs>
        <w:tab w:val="right" w:leader="dot" w:pos="8268"/>
      </w:tabs>
      <w:spacing w:before="0"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 w:type="paragraph" w:styleId="HTMLPreformatted">
    <w:name w:val="HTML Preformatted"/>
    <w:basedOn w:val="Normal"/>
    <w:link w:val="HTMLPreformattedChar"/>
    <w:uiPriority w:val="99"/>
    <w:semiHidden/>
    <w:unhideWhenUsed/>
    <w:rsid w:val="00CF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544"/>
    <w:rPr>
      <w:rFonts w:ascii="Courier New" w:eastAsia="Times New Roman" w:hAnsi="Courier New" w:cs="Courier New"/>
      <w:sz w:val="20"/>
      <w:szCs w:val="20"/>
    </w:rPr>
  </w:style>
  <w:style w:type="character" w:customStyle="1" w:styleId="pl-k">
    <w:name w:val="pl-k"/>
    <w:basedOn w:val="DefaultParagraphFont"/>
    <w:rsid w:val="00CF0544"/>
  </w:style>
  <w:style w:type="paragraph" w:customStyle="1" w:styleId="Standard">
    <w:name w:val="Standard"/>
    <w:rsid w:val="00901995"/>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 w:id="554463765">
      <w:bodyDiv w:val="1"/>
      <w:marLeft w:val="0"/>
      <w:marRight w:val="0"/>
      <w:marTop w:val="0"/>
      <w:marBottom w:val="0"/>
      <w:divBdr>
        <w:top w:val="none" w:sz="0" w:space="0" w:color="auto"/>
        <w:left w:val="none" w:sz="0" w:space="0" w:color="auto"/>
        <w:bottom w:val="none" w:sz="0" w:space="0" w:color="auto"/>
        <w:right w:val="none" w:sz="0" w:space="0" w:color="auto"/>
      </w:divBdr>
    </w:div>
    <w:div w:id="1709062408">
      <w:bodyDiv w:val="1"/>
      <w:marLeft w:val="0"/>
      <w:marRight w:val="0"/>
      <w:marTop w:val="0"/>
      <w:marBottom w:val="0"/>
      <w:divBdr>
        <w:top w:val="none" w:sz="0" w:space="0" w:color="auto"/>
        <w:left w:val="none" w:sz="0" w:space="0" w:color="auto"/>
        <w:bottom w:val="none" w:sz="0" w:space="0" w:color="auto"/>
        <w:right w:val="none" w:sz="0" w:space="0" w:color="auto"/>
      </w:divBdr>
    </w:div>
    <w:div w:id="18290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tyan/suga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google/gson" TargetMode="External"/><Relationship Id="rId7" Type="http://schemas.openxmlformats.org/officeDocument/2006/relationships/hyperlink" Target="https://kantarainitiative.org/uma-takes-home-award-from-eic-2014/"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ocs.oracle.com/javaee/7/api/javax/json/JsonObjec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kantarainitiative.org/confluence/display/uma/Home" TargetMode="External"/><Relationship Id="rId11" Type="http://schemas.openxmlformats.org/officeDocument/2006/relationships/hyperlink" Target="https://www.w3.org/TR/rdf11-concept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evelopers.google.com/google-apps/calendar/overview"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digitalhealthrevolution/serviceregistry"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D035-AD72-4139-9F7E-68558BE68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13382</TotalTime>
  <Pages>40</Pages>
  <Words>10430</Words>
  <Characters>59457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3</cp:revision>
  <dcterms:created xsi:type="dcterms:W3CDTF">2016-11-09T15:53:00Z</dcterms:created>
  <dcterms:modified xsi:type="dcterms:W3CDTF">2016-12-01T00:20:00Z</dcterms:modified>
</cp:coreProperties>
</file>