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3B239" w14:textId="5065D0DB" w:rsidR="004A112F" w:rsidRPr="00DB6089" w:rsidRDefault="004A112F" w:rsidP="00DB6089">
      <w:pPr>
        <w:pStyle w:val="a9"/>
      </w:pPr>
      <w:r w:rsidRPr="00DB6089">
        <w:t>KYOCHAN</w:t>
      </w:r>
      <w:r w:rsidR="00DD3D1E" w:rsidRPr="00DB6089">
        <w:t>3.0_Chiral</w:t>
      </w:r>
      <w:r w:rsidRPr="00DB6089">
        <w:t xml:space="preserve"> </w:t>
      </w:r>
      <w:r w:rsidR="0061510E" w:rsidRPr="00DB6089">
        <w:t>Instruction</w:t>
      </w:r>
    </w:p>
    <w:p w14:paraId="576852D1" w14:textId="158CAB82" w:rsidR="004A112F" w:rsidRPr="00DD3D1E" w:rsidRDefault="00DD3D1E" w:rsidP="00DB6089">
      <w:pPr>
        <w:jc w:val="right"/>
      </w:pPr>
      <w:r w:rsidRPr="00DD3D1E">
        <w:t>Shusaku ASANO (shusaku_asano@cm.kyushu-u.ac.jp)</w:t>
      </w:r>
    </w:p>
    <w:p w14:paraId="7B8C203F" w14:textId="1B77B17E" w:rsidR="00165854" w:rsidRPr="00DD3D1E" w:rsidRDefault="00DD3D1E" w:rsidP="00810703">
      <w:pPr>
        <w:pStyle w:val="1"/>
      </w:pPr>
      <w:r w:rsidRPr="00DD3D1E">
        <w:t>Update note</w:t>
      </w:r>
    </w:p>
    <w:p w14:paraId="38C35174" w14:textId="45630242" w:rsidR="007C03AA" w:rsidRPr="00A30DEF" w:rsidRDefault="00DD3D1E" w:rsidP="00810703">
      <w:pPr>
        <w:pStyle w:val="2"/>
        <w:rPr>
          <w:rFonts w:ascii="Calibri" w:hAnsi="Calibri" w:cs="Calibri"/>
        </w:rPr>
      </w:pPr>
      <w:r w:rsidRPr="00DD3D1E">
        <w:t>2021/05/2</w:t>
      </w:r>
      <w:r w:rsidR="00A30DEF">
        <w:rPr>
          <w:rFonts w:ascii="Calibri" w:hAnsi="Calibri" w:cs="Calibri"/>
        </w:rPr>
        <w:t>4</w:t>
      </w:r>
      <w:r w:rsidRPr="00DD3D1E">
        <w:t xml:space="preserve"> Ver 3.0 </w:t>
      </w:r>
      <w:r w:rsidR="00DA16B0">
        <w:rPr>
          <w:rFonts w:ascii="Calibri" w:hAnsi="Calibri" w:cs="Calibri"/>
        </w:rPr>
        <w:t>has been</w:t>
      </w:r>
      <w:r w:rsidR="00A30DEF">
        <w:rPr>
          <w:rFonts w:ascii="Calibri" w:hAnsi="Calibri" w:cs="Calibri"/>
        </w:rPr>
        <w:t xml:space="preserve"> </w:t>
      </w:r>
      <w:r w:rsidRPr="00DD3D1E">
        <w:t>published</w:t>
      </w:r>
      <w:r w:rsidR="00A30DEF">
        <w:t xml:space="preserve"> </w:t>
      </w:r>
      <w:r w:rsidR="00DA16B0">
        <w:rPr>
          <w:rFonts w:ascii="Calibri" w:hAnsi="Calibri" w:cs="Calibri"/>
        </w:rPr>
        <w:t>o</w:t>
      </w:r>
      <w:r w:rsidR="00A30DEF">
        <w:rPr>
          <w:rFonts w:ascii="Calibri" w:hAnsi="Calibri" w:cs="Calibri"/>
        </w:rPr>
        <w:t>n GitHub.</w:t>
      </w:r>
    </w:p>
    <w:p w14:paraId="499C27EA" w14:textId="77777777" w:rsidR="00DD3D1E" w:rsidRPr="00A30DEF" w:rsidRDefault="00DD3D1E" w:rsidP="00810703"/>
    <w:p w14:paraId="10FF2E16" w14:textId="53EE22B7" w:rsidR="00526BB2" w:rsidRPr="00DD3D1E" w:rsidRDefault="00DD3D1E" w:rsidP="00810703">
      <w:pPr>
        <w:pStyle w:val="1"/>
      </w:pPr>
      <w:r w:rsidRPr="00DD3D1E">
        <w:t xml:space="preserve">About </w:t>
      </w:r>
      <w:proofErr w:type="spellStart"/>
      <w:r w:rsidR="00526BB2" w:rsidRPr="00DD3D1E">
        <w:t>KYOCHAN</w:t>
      </w:r>
      <w:r w:rsidRPr="00DD3D1E">
        <w:t>_Chiral</w:t>
      </w:r>
      <w:proofErr w:type="spellEnd"/>
    </w:p>
    <w:p w14:paraId="25D61219" w14:textId="4B838433" w:rsidR="00DD3D1E" w:rsidRPr="00DD3D1E" w:rsidRDefault="00DD3D1E" w:rsidP="00810703">
      <w:proofErr w:type="spellStart"/>
      <w:r w:rsidRPr="00DD3D1E">
        <w:rPr>
          <w:shd w:val="clear" w:color="auto" w:fill="FFFFFF"/>
        </w:rPr>
        <w:t>KYOCHAN_Chiral</w:t>
      </w:r>
      <w:proofErr w:type="spellEnd"/>
      <w:r w:rsidRPr="00DD3D1E">
        <w:rPr>
          <w:shd w:val="clear" w:color="auto" w:fill="FFFFFF"/>
        </w:rPr>
        <w:t xml:space="preserve"> is a standalone software for automated analysis of stereochemical stability of dynamic ch</w:t>
      </w:r>
      <w:r>
        <w:rPr>
          <w:rFonts w:ascii="Calibri" w:hAnsi="Calibri" w:cs="Calibri"/>
          <w:shd w:val="clear" w:color="auto" w:fill="FFFFFF"/>
        </w:rPr>
        <w:t>i</w:t>
      </w:r>
      <w:r w:rsidRPr="00DD3D1E">
        <w:rPr>
          <w:shd w:val="clear" w:color="auto" w:fill="FFFFFF"/>
        </w:rPr>
        <w:t xml:space="preserve">ral molecules using </w:t>
      </w:r>
      <w:r w:rsidR="00DA16B0">
        <w:rPr>
          <w:shd w:val="clear" w:color="auto" w:fill="FFFFFF"/>
        </w:rPr>
        <w:t xml:space="preserve">a </w:t>
      </w:r>
      <w:r w:rsidRPr="00DD3D1E">
        <w:rPr>
          <w:shd w:val="clear" w:color="auto" w:fill="FFFFFF"/>
        </w:rPr>
        <w:t xml:space="preserve">microflow setup. Its details and benefits are described in a publication </w:t>
      </w:r>
      <w:proofErr w:type="spellStart"/>
      <w:proofErr w:type="gramStart"/>
      <w:r w:rsidRPr="00DD3D1E">
        <w:rPr>
          <w:shd w:val="clear" w:color="auto" w:fill="FFFFFF"/>
        </w:rPr>
        <w:t>DOI:xxxxxxxx</w:t>
      </w:r>
      <w:proofErr w:type="spellEnd"/>
      <w:proofErr w:type="gramEnd"/>
      <w:r w:rsidRPr="00DD3D1E">
        <w:rPr>
          <w:shd w:val="clear" w:color="auto" w:fill="FFFFFF"/>
        </w:rPr>
        <w:t>.</w:t>
      </w:r>
    </w:p>
    <w:p w14:paraId="140EB5F4" w14:textId="48976573" w:rsidR="00DD3D1E" w:rsidRDefault="00DD3D1E" w:rsidP="00810703">
      <w:pPr>
        <w:rPr>
          <w:shd w:val="clear" w:color="auto" w:fill="FFFFFF"/>
        </w:rPr>
      </w:pPr>
      <w:proofErr w:type="spellStart"/>
      <w:r>
        <w:rPr>
          <w:shd w:val="clear" w:color="auto" w:fill="FFFFFF"/>
        </w:rPr>
        <w:t>KYOCHAN_Chiral</w:t>
      </w:r>
      <w:proofErr w:type="spellEnd"/>
      <w:r>
        <w:rPr>
          <w:shd w:val="clear" w:color="auto" w:fill="FFFFFF"/>
        </w:rPr>
        <w:t xml:space="preserve"> has limited functions of </w:t>
      </w:r>
      <w:r w:rsidR="00DA16B0">
        <w:rPr>
          <w:shd w:val="clear" w:color="auto" w:fill="FFFFFF"/>
        </w:rPr>
        <w:t xml:space="preserve">the </w:t>
      </w:r>
      <w:r>
        <w:rPr>
          <w:shd w:val="clear" w:color="auto" w:fill="FFFFFF"/>
        </w:rPr>
        <w:t xml:space="preserve">KYOCHAN platform, which covers </w:t>
      </w:r>
      <w:r w:rsidR="00DA16B0">
        <w:rPr>
          <w:shd w:val="clear" w:color="auto" w:fill="FFFFFF"/>
        </w:rPr>
        <w:t xml:space="preserve">a </w:t>
      </w:r>
      <w:r>
        <w:rPr>
          <w:shd w:val="clear" w:color="auto" w:fill="FFFFFF"/>
        </w:rPr>
        <w:t xml:space="preserve">broad range of lab automation and intelligent flow chemistry. If you have interest in applications not described in </w:t>
      </w:r>
      <w:proofErr w:type="spellStart"/>
      <w:proofErr w:type="gramStart"/>
      <w:r>
        <w:rPr>
          <w:shd w:val="clear" w:color="auto" w:fill="FFFFFF"/>
        </w:rPr>
        <w:t>DOI:xxxxxxxx</w:t>
      </w:r>
      <w:proofErr w:type="spellEnd"/>
      <w:proofErr w:type="gramEnd"/>
      <w:r>
        <w:rPr>
          <w:shd w:val="clear" w:color="auto" w:fill="FFFFFF"/>
        </w:rPr>
        <w:t>, please contact the corresponding author.</w:t>
      </w:r>
    </w:p>
    <w:p w14:paraId="6D4AB68A" w14:textId="77777777" w:rsidR="00DD3D1E" w:rsidRDefault="00DD3D1E" w:rsidP="00810703"/>
    <w:p w14:paraId="5CB8879D" w14:textId="78AD3CBA" w:rsidR="00DD3D1E" w:rsidRDefault="00DD3D1E" w:rsidP="00810703">
      <w:pPr>
        <w:pStyle w:val="2"/>
      </w:pPr>
      <w:r>
        <w:t>Hardware requirement</w:t>
      </w:r>
    </w:p>
    <w:p w14:paraId="2E0082C2" w14:textId="77777777" w:rsidR="00231503" w:rsidRDefault="00AB3203" w:rsidP="00231503">
      <w:pPr>
        <w:pStyle w:val="3"/>
      </w:pPr>
      <w:r w:rsidRPr="00AB3203">
        <w:t xml:space="preserve">Syringe pump: </w:t>
      </w:r>
    </w:p>
    <w:p w14:paraId="673DDC81" w14:textId="64A5092B" w:rsidR="00AB3203" w:rsidRDefault="00AB3203" w:rsidP="00810703">
      <w:r w:rsidRPr="00AB3203">
        <w:t xml:space="preserve">Many models of the syringe pumps are supported in </w:t>
      </w:r>
      <w:proofErr w:type="spellStart"/>
      <w:r w:rsidRPr="00AB3203">
        <w:t>KYOCHAN_Chiral</w:t>
      </w:r>
      <w:proofErr w:type="spellEnd"/>
      <w:r w:rsidRPr="00AB3203">
        <w:t>. It should have a USB or RS-232 connection port. Pump11</w:t>
      </w:r>
      <w:r>
        <w:rPr>
          <w:rFonts w:hint="eastAsia"/>
        </w:rPr>
        <w:t xml:space="preserve"> </w:t>
      </w:r>
      <w:r w:rsidRPr="00AB3203">
        <w:t>Elite or PHD ULTRA</w:t>
      </w:r>
      <w:r w:rsidR="00810703">
        <w:t xml:space="preserve"> </w:t>
      </w:r>
      <w:r w:rsidRPr="00AB3203">
        <w:t>(Harvard Apparatus) is recommended.</w:t>
      </w:r>
    </w:p>
    <w:p w14:paraId="2A5D9568" w14:textId="77777777" w:rsidR="00231503" w:rsidRPr="00AB3203" w:rsidRDefault="00231503" w:rsidP="00810703"/>
    <w:p w14:paraId="3123644F" w14:textId="77777777" w:rsidR="00231503" w:rsidRDefault="00AB3203" w:rsidP="00231503">
      <w:pPr>
        <w:pStyle w:val="3"/>
      </w:pPr>
      <w:r w:rsidRPr="00AB3203">
        <w:t xml:space="preserve">Temperature sensor: </w:t>
      </w:r>
    </w:p>
    <w:p w14:paraId="4B412976" w14:textId="63398800" w:rsidR="00AB3203" w:rsidRPr="00AB3203" w:rsidRDefault="00AB3203" w:rsidP="00810703">
      <w:r w:rsidRPr="00AB3203">
        <w:t>TC-01 (NI) is supported.</w:t>
      </w:r>
    </w:p>
    <w:p w14:paraId="6B0E3F63" w14:textId="77777777" w:rsidR="00231503" w:rsidRDefault="00231503" w:rsidP="00810703"/>
    <w:p w14:paraId="24FD8DF7" w14:textId="77777777" w:rsidR="00231503" w:rsidRDefault="00AB3203" w:rsidP="00231503">
      <w:pPr>
        <w:pStyle w:val="3"/>
      </w:pPr>
      <w:r w:rsidRPr="00AB3203">
        <w:t xml:space="preserve">Digital output device: </w:t>
      </w:r>
    </w:p>
    <w:p w14:paraId="1DE08396" w14:textId="2E3C0603" w:rsidR="00AB3203" w:rsidRDefault="00AB3203" w:rsidP="00810703">
      <w:r w:rsidRPr="00AB3203">
        <w:t xml:space="preserve">USB-DAQ </w:t>
      </w:r>
      <w:r>
        <w:t xml:space="preserve">(such as USB-6001, NI) </w:t>
      </w:r>
      <w:r w:rsidRPr="00AB3203">
        <w:t>and Compact DAQ (</w:t>
      </w:r>
      <w:r w:rsidR="00FF5933">
        <w:t xml:space="preserve">such as </w:t>
      </w:r>
      <w:r>
        <w:t>NI-</w:t>
      </w:r>
      <w:r w:rsidR="00FF5933">
        <w:t xml:space="preserve">9482, </w:t>
      </w:r>
      <w:r w:rsidRPr="00AB3203">
        <w:t>NI) modules are supported.</w:t>
      </w:r>
    </w:p>
    <w:p w14:paraId="4FBF6D4B" w14:textId="77777777" w:rsidR="00231503" w:rsidRPr="00AB3203" w:rsidRDefault="00231503" w:rsidP="00810703"/>
    <w:p w14:paraId="48707FA4" w14:textId="77777777" w:rsidR="00231503" w:rsidRDefault="00AB3203" w:rsidP="00231503">
      <w:pPr>
        <w:pStyle w:val="3"/>
      </w:pPr>
      <w:r w:rsidRPr="00AB3203">
        <w:t xml:space="preserve">6 port </w:t>
      </w:r>
      <w:proofErr w:type="gramStart"/>
      <w:r w:rsidRPr="00AB3203">
        <w:t>valve</w:t>
      </w:r>
      <w:proofErr w:type="gramEnd"/>
      <w:r w:rsidRPr="00AB3203">
        <w:t xml:space="preserve">: </w:t>
      </w:r>
    </w:p>
    <w:p w14:paraId="4924E4AA" w14:textId="7DD0A5AB" w:rsidR="00AB3203" w:rsidRPr="00AB3203" w:rsidRDefault="00AB3203" w:rsidP="00810703">
      <w:r w:rsidRPr="00AB3203">
        <w:t>Valves controlled by digital input or relay contact can be used. VA-21 series valve (FLOM) is supported exceptionally.</w:t>
      </w:r>
    </w:p>
    <w:p w14:paraId="11991D95" w14:textId="77777777" w:rsidR="00231503" w:rsidRDefault="00231503" w:rsidP="00810703"/>
    <w:p w14:paraId="34872FB8" w14:textId="413E6442" w:rsidR="00231503" w:rsidRDefault="00AB3203" w:rsidP="00231503">
      <w:pPr>
        <w:pStyle w:val="3"/>
      </w:pPr>
      <w:r w:rsidRPr="00AB3203">
        <w:t xml:space="preserve">HPLC system: </w:t>
      </w:r>
    </w:p>
    <w:p w14:paraId="27651910" w14:textId="3A109C4B" w:rsidR="00AB3203" w:rsidRDefault="00AB3203" w:rsidP="00810703">
      <w:r w:rsidRPr="00AB3203">
        <w:t>Any models of HPLC system which have start signal input can be used.</w:t>
      </w:r>
    </w:p>
    <w:p w14:paraId="2A48C7CF" w14:textId="77777777" w:rsidR="00231503" w:rsidRPr="00AB3203" w:rsidRDefault="00231503" w:rsidP="00810703"/>
    <w:p w14:paraId="0ED1E5BA" w14:textId="3D6F99ED" w:rsidR="00DD3D1E" w:rsidRPr="00810703" w:rsidRDefault="00DD3D1E" w:rsidP="00810703">
      <w:pPr>
        <w:pStyle w:val="2"/>
      </w:pPr>
      <w:r w:rsidRPr="00810703">
        <w:rPr>
          <w:rFonts w:hint="eastAsia"/>
        </w:rPr>
        <w:lastRenderedPageBreak/>
        <w:t>C</w:t>
      </w:r>
      <w:r w:rsidRPr="00810703">
        <w:t>onnection setup</w:t>
      </w:r>
    </w:p>
    <w:p w14:paraId="566207B9" w14:textId="77777777" w:rsidR="00810703" w:rsidRPr="00810703" w:rsidRDefault="00AB3203" w:rsidP="00810703">
      <w:pPr>
        <w:pStyle w:val="3"/>
      </w:pPr>
      <w:r w:rsidRPr="00810703">
        <w:t xml:space="preserve">Syringe pump: </w:t>
      </w:r>
    </w:p>
    <w:p w14:paraId="7D70ED8A" w14:textId="7562CDC5" w:rsidR="00A30DEF" w:rsidRDefault="00AB3203" w:rsidP="00810703">
      <w:r w:rsidRPr="00810703">
        <w:t xml:space="preserve">Connect PC and pump with USB-B cable or RS-232 cable. Note that </w:t>
      </w:r>
      <w:r w:rsidR="00DA16B0">
        <w:t xml:space="preserve">the </w:t>
      </w:r>
      <w:r w:rsidRPr="00810703">
        <w:t xml:space="preserve">RS-232 cable </w:t>
      </w:r>
      <w:r w:rsidR="00DA16B0">
        <w:t xml:space="preserve">wiring </w:t>
      </w:r>
      <w:r w:rsidRPr="00810703">
        <w:t>is dependent on the syringe pump models.</w:t>
      </w:r>
    </w:p>
    <w:p w14:paraId="4F346385" w14:textId="77777777" w:rsidR="00231503" w:rsidRPr="00810703" w:rsidRDefault="00231503" w:rsidP="00810703"/>
    <w:p w14:paraId="6A1C7FE4" w14:textId="77777777" w:rsidR="00810703" w:rsidRDefault="00AB3203" w:rsidP="00810703">
      <w:pPr>
        <w:pStyle w:val="3"/>
      </w:pPr>
      <w:r>
        <w:t xml:space="preserve">Temperature sensor: </w:t>
      </w:r>
    </w:p>
    <w:p w14:paraId="0F6841BF" w14:textId="77777777" w:rsidR="00231503" w:rsidRDefault="00AB3203" w:rsidP="00810703">
      <w:r>
        <w:t>Insert J or K thermocouple terminal to TC-01. The tip of the thermocouple should be placed at the center of the oil bath.</w:t>
      </w:r>
    </w:p>
    <w:p w14:paraId="64FB8B9B" w14:textId="27DAC946" w:rsidR="00AB3203" w:rsidRDefault="00FF5933" w:rsidP="00810703">
      <w:r>
        <w:t xml:space="preserve"> </w:t>
      </w:r>
    </w:p>
    <w:p w14:paraId="2329D6BE" w14:textId="77777777" w:rsidR="00810703" w:rsidRDefault="00AB3203" w:rsidP="00810703">
      <w:pPr>
        <w:pStyle w:val="3"/>
      </w:pPr>
      <w:r>
        <w:t>Digital output device:</w:t>
      </w:r>
    </w:p>
    <w:p w14:paraId="5E07739E" w14:textId="56EACD09" w:rsidR="00810703" w:rsidRDefault="00FF5933" w:rsidP="00810703">
      <w:r>
        <w:t>In the case of the USB-6001, MOS relay</w:t>
      </w:r>
      <w:r w:rsidR="00DA16B0">
        <w:t>s</w:t>
      </w:r>
      <w:r>
        <w:t xml:space="preserve"> (such as AQZ-207, Panasonic) should be implemented to convert 5V output </w:t>
      </w:r>
      <w:r w:rsidR="00B22482">
        <w:t>line</w:t>
      </w:r>
      <w:r w:rsidR="00810703">
        <w:t xml:space="preserve">s </w:t>
      </w:r>
      <w:r>
        <w:t>to the relay contact</w:t>
      </w:r>
      <w:r w:rsidR="00810703">
        <w:t xml:space="preserve"> </w:t>
      </w:r>
      <w:r w:rsidR="00B22482">
        <w:t>line</w:t>
      </w:r>
      <w:r w:rsidR="00810703">
        <w:t>s</w:t>
      </w:r>
      <w:r>
        <w:t xml:space="preserve">. </w:t>
      </w:r>
      <w:r w:rsidR="00810703">
        <w:t>In the case of relay output device</w:t>
      </w:r>
      <w:r w:rsidR="00DA16B0">
        <w:t>s</w:t>
      </w:r>
      <w:r w:rsidR="00810703">
        <w:t xml:space="preserve"> such as NI-9482, no conversion is needed. Relay contact </w:t>
      </w:r>
      <w:r w:rsidR="00B22482">
        <w:t>line</w:t>
      </w:r>
      <w:r w:rsidR="00810703">
        <w:t xml:space="preserve">s are used for heater control, valve control and HPLC start signal. </w:t>
      </w:r>
    </w:p>
    <w:p w14:paraId="5FBB0642" w14:textId="77777777" w:rsidR="00231503" w:rsidRDefault="00231503" w:rsidP="00810703"/>
    <w:p w14:paraId="6A70569C" w14:textId="77777777" w:rsidR="00810703" w:rsidRDefault="00810703" w:rsidP="00810703">
      <w:pPr>
        <w:pStyle w:val="3"/>
      </w:pPr>
      <w:r>
        <w:rPr>
          <w:rFonts w:hint="eastAsia"/>
        </w:rPr>
        <w:t>H</w:t>
      </w:r>
      <w:r>
        <w:t>eater:</w:t>
      </w:r>
    </w:p>
    <w:p w14:paraId="722F5182" w14:textId="1413830E" w:rsidR="00810703" w:rsidRDefault="00DA16B0" w:rsidP="00810703">
      <w:r>
        <w:t>The t</w:t>
      </w:r>
      <w:r w:rsidR="00810703">
        <w:t xml:space="preserve">ape heater or mantle heater should be connected as the following schematics. </w:t>
      </w:r>
    </w:p>
    <w:p w14:paraId="097E5495" w14:textId="1D4873AC" w:rsidR="00810703" w:rsidRPr="00810703" w:rsidRDefault="00810703" w:rsidP="00810703">
      <w:pPr>
        <w:jc w:val="center"/>
      </w:pPr>
      <w:r>
        <w:rPr>
          <w:noProof/>
        </w:rPr>
        <w:drawing>
          <wp:inline distT="0" distB="0" distL="0" distR="0" wp14:anchorId="5C0793B5" wp14:editId="2AFFC212">
            <wp:extent cx="1183817" cy="10414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1192" cy="1047888"/>
                    </a:xfrm>
                    <a:prstGeom prst="rect">
                      <a:avLst/>
                    </a:prstGeom>
                    <a:noFill/>
                    <a:ln>
                      <a:noFill/>
                    </a:ln>
                  </pic:spPr>
                </pic:pic>
              </a:graphicData>
            </a:graphic>
          </wp:inline>
        </w:drawing>
      </w:r>
    </w:p>
    <w:p w14:paraId="2F51BD9E" w14:textId="2BF4501D" w:rsidR="00AB3203" w:rsidRDefault="00231503" w:rsidP="00810703">
      <w:r>
        <w:t xml:space="preserve">Heater power is controlled with the duty cycle of the relay module. By the combination of the TC-01 temperature input, </w:t>
      </w:r>
      <w:proofErr w:type="spellStart"/>
      <w:r>
        <w:t>KYOCHAN_Chiral</w:t>
      </w:r>
      <w:proofErr w:type="spellEnd"/>
      <w:r>
        <w:t xml:space="preserve"> enables accurate temperature controls up to 200°C. H</w:t>
      </w:r>
      <w:r w:rsidRPr="00231503">
        <w:t xml:space="preserve">owever, it does not provide </w:t>
      </w:r>
      <w:r w:rsidR="00DA16B0">
        <w:t xml:space="preserve">a </w:t>
      </w:r>
      <w:r w:rsidRPr="00231503">
        <w:t xml:space="preserve">safety function to prevent fire accidents. The author does not take any responsibility </w:t>
      </w:r>
      <w:r w:rsidR="00DA16B0">
        <w:t>for</w:t>
      </w:r>
      <w:r w:rsidRPr="00231503">
        <w:t xml:space="preserve"> the accident during the operation.</w:t>
      </w:r>
    </w:p>
    <w:p w14:paraId="40E4CE4D" w14:textId="00C0FE01" w:rsidR="00231503" w:rsidRDefault="00231503" w:rsidP="00810703"/>
    <w:p w14:paraId="06DD11E8" w14:textId="3128FE56" w:rsidR="00231503" w:rsidRDefault="00231503" w:rsidP="00231503">
      <w:pPr>
        <w:pStyle w:val="3"/>
      </w:pPr>
      <w:r>
        <w:t xml:space="preserve">6 port </w:t>
      </w:r>
      <w:proofErr w:type="gramStart"/>
      <w:r>
        <w:t>valve</w:t>
      </w:r>
      <w:proofErr w:type="gramEnd"/>
      <w:r w:rsidR="007670DD">
        <w:t>:</w:t>
      </w:r>
    </w:p>
    <w:p w14:paraId="0D7EB63B" w14:textId="52A25D4D" w:rsidR="00231503" w:rsidRDefault="00231503" w:rsidP="00810703">
      <w:r>
        <w:t xml:space="preserve">In the case of </w:t>
      </w:r>
      <w:r w:rsidR="00DA16B0">
        <w:t xml:space="preserve">the </w:t>
      </w:r>
      <w:r w:rsidRPr="00AB3203">
        <w:t>VA-21 series valve (FLOM)</w:t>
      </w:r>
      <w:r>
        <w:t xml:space="preserve">, two of the connection terminals can be connected to the relay </w:t>
      </w:r>
      <w:r w:rsidR="00B22482">
        <w:t>line</w:t>
      </w:r>
      <w:r>
        <w:t xml:space="preserve"> of the digital </w:t>
      </w:r>
      <w:r w:rsidR="007670DD">
        <w:t>output device.</w:t>
      </w:r>
    </w:p>
    <w:p w14:paraId="12CA0AC9" w14:textId="1709A7ED" w:rsidR="00231503" w:rsidRDefault="00231503" w:rsidP="00810703"/>
    <w:p w14:paraId="687BE6D8" w14:textId="60DD2DFF" w:rsidR="007670DD" w:rsidRDefault="007670DD" w:rsidP="007670DD">
      <w:pPr>
        <w:pStyle w:val="3"/>
      </w:pPr>
      <w:r>
        <w:rPr>
          <w:rFonts w:hint="eastAsia"/>
        </w:rPr>
        <w:t>H</w:t>
      </w:r>
      <w:r>
        <w:t>PLC system:</w:t>
      </w:r>
    </w:p>
    <w:p w14:paraId="203A83ED" w14:textId="3A1B9AAB" w:rsidR="007670DD" w:rsidRDefault="007670DD" w:rsidP="00810703">
      <w:r>
        <w:t xml:space="preserve">Connect one of the relay </w:t>
      </w:r>
      <w:r w:rsidR="00B22482">
        <w:t>line</w:t>
      </w:r>
      <w:r>
        <w:t xml:space="preserve">s to the start signal input terminal of the HPLC system. Generally, the start signal input is open or connected to the manual injector. You do not need to remove </w:t>
      </w:r>
      <w:r w:rsidR="00DA16B0">
        <w:t xml:space="preserve">the </w:t>
      </w:r>
      <w:r>
        <w:t xml:space="preserve">manual injector connection. You can insert </w:t>
      </w:r>
      <w:r w:rsidR="00DA16B0">
        <w:t xml:space="preserve">a </w:t>
      </w:r>
      <w:r>
        <w:t xml:space="preserve">new connection cable besides that of the manual injector. </w:t>
      </w:r>
    </w:p>
    <w:p w14:paraId="66AE7311" w14:textId="77777777" w:rsidR="007670DD" w:rsidRPr="00A30DEF" w:rsidRDefault="007670DD" w:rsidP="00810703"/>
    <w:p w14:paraId="457A185F" w14:textId="4CE3DE47" w:rsidR="004A112F" w:rsidRDefault="00DD3D1E" w:rsidP="00810703">
      <w:pPr>
        <w:pStyle w:val="2"/>
      </w:pPr>
      <w:r>
        <w:t>Software Install</w:t>
      </w:r>
    </w:p>
    <w:p w14:paraId="232FFFAE" w14:textId="78E5E3AD" w:rsidR="00DD3D1E" w:rsidRPr="00DD3D1E" w:rsidRDefault="00E75753" w:rsidP="00810703">
      <w:proofErr w:type="spellStart"/>
      <w:r>
        <w:t>KYOCHAN_Chral</w:t>
      </w:r>
      <w:proofErr w:type="spellEnd"/>
      <w:r>
        <w:t xml:space="preserve"> requires the NI runtime engines. When you first try to open KYOCHAN3.0_Chiral.exe, your PC will search these runtime engines </w:t>
      </w:r>
      <w:r w:rsidR="00DA16B0">
        <w:t>o</w:t>
      </w:r>
      <w:r>
        <w:t xml:space="preserve">n the web. These are free and you do not need to have commercial </w:t>
      </w:r>
      <w:r w:rsidR="00DA16B0">
        <w:t xml:space="preserve">a </w:t>
      </w:r>
      <w:r>
        <w:t xml:space="preserve">LabVIEW development license. </w:t>
      </w:r>
    </w:p>
    <w:p w14:paraId="7AFD2ECF" w14:textId="77777777" w:rsidR="00505181" w:rsidRDefault="00505181" w:rsidP="00810703"/>
    <w:p w14:paraId="7805C4C2" w14:textId="1A79ABAD" w:rsidR="004A112F" w:rsidRDefault="00DD3D1E" w:rsidP="00810703">
      <w:pPr>
        <w:pStyle w:val="1"/>
      </w:pPr>
      <w:r>
        <w:rPr>
          <w:rFonts w:hint="eastAsia"/>
        </w:rPr>
        <w:t>O</w:t>
      </w:r>
      <w:r>
        <w:t>peration</w:t>
      </w:r>
    </w:p>
    <w:p w14:paraId="44D7BEF8" w14:textId="747FCB01" w:rsidR="00E75753" w:rsidRDefault="00E75753" w:rsidP="00810703">
      <w:r w:rsidRPr="00E93B8C">
        <w:rPr>
          <w:noProof/>
        </w:rPr>
        <w:drawing>
          <wp:anchor distT="0" distB="0" distL="114300" distR="114300" simplePos="0" relativeHeight="251658240" behindDoc="0" locked="0" layoutInCell="1" allowOverlap="1" wp14:anchorId="7CA6D86F" wp14:editId="01E38EC3">
            <wp:simplePos x="0" y="0"/>
            <wp:positionH relativeFrom="column">
              <wp:posOffset>4198832</wp:posOffset>
            </wp:positionH>
            <wp:positionV relativeFrom="paragraph">
              <wp:posOffset>38735</wp:posOffset>
            </wp:positionV>
            <wp:extent cx="1004570" cy="781685"/>
            <wp:effectExtent l="0" t="0" r="508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4570" cy="781685"/>
                    </a:xfrm>
                    <a:prstGeom prst="rect">
                      <a:avLst/>
                    </a:prstGeom>
                  </pic:spPr>
                </pic:pic>
              </a:graphicData>
            </a:graphic>
          </wp:anchor>
        </w:drawing>
      </w:r>
      <w:r>
        <w:rPr>
          <w:rFonts w:hint="eastAsia"/>
        </w:rPr>
        <w:t>W</w:t>
      </w:r>
      <w:r>
        <w:t>hen you open the</w:t>
      </w:r>
      <w:r w:rsidRPr="00E75753">
        <w:t xml:space="preserve"> </w:t>
      </w:r>
      <w:r>
        <w:t xml:space="preserve">KYOCHAN3.0_Chiral.exe after the installation of runtime engines, you will see the opening message (right) and then, main panel (below). </w:t>
      </w:r>
    </w:p>
    <w:p w14:paraId="19DE361F" w14:textId="2CC24C7A" w:rsidR="0053723C" w:rsidRDefault="00E75753" w:rsidP="0053723C">
      <w:pPr>
        <w:jc w:val="center"/>
      </w:pPr>
      <w:r w:rsidRPr="00E75753">
        <w:rPr>
          <w:noProof/>
        </w:rPr>
        <w:drawing>
          <wp:inline distT="0" distB="0" distL="0" distR="0" wp14:anchorId="205F38DC" wp14:editId="58F9C981">
            <wp:extent cx="4120937" cy="1545836"/>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6741" cy="1555516"/>
                    </a:xfrm>
                    <a:prstGeom prst="rect">
                      <a:avLst/>
                    </a:prstGeom>
                  </pic:spPr>
                </pic:pic>
              </a:graphicData>
            </a:graphic>
          </wp:inline>
        </w:drawing>
      </w:r>
    </w:p>
    <w:p w14:paraId="34FCB7DE" w14:textId="77777777" w:rsidR="0053723C" w:rsidRDefault="0053723C" w:rsidP="0053723C">
      <w:pPr>
        <w:jc w:val="center"/>
      </w:pPr>
    </w:p>
    <w:p w14:paraId="33C34F9A" w14:textId="69F93E76" w:rsidR="004A112F" w:rsidRDefault="00DD3D1E" w:rsidP="00810703">
      <w:pPr>
        <w:pStyle w:val="2"/>
      </w:pPr>
      <w:r>
        <w:t>Syringe pump</w:t>
      </w:r>
    </w:p>
    <w:p w14:paraId="100433DF" w14:textId="58E275F1" w:rsidR="004A112F" w:rsidRDefault="00DD3D1E" w:rsidP="00810703">
      <w:pPr>
        <w:pStyle w:val="3"/>
      </w:pPr>
      <w:r>
        <w:rPr>
          <w:rFonts w:hint="eastAsia"/>
        </w:rPr>
        <w:t>R</w:t>
      </w:r>
      <w:r>
        <w:t>egister</w:t>
      </w:r>
    </w:p>
    <w:p w14:paraId="62B290DF" w14:textId="69C07A3A" w:rsidR="00526BB2" w:rsidRDefault="0053723C" w:rsidP="00E75753">
      <w:pPr>
        <w:pStyle w:val="ab"/>
        <w:numPr>
          <w:ilvl w:val="0"/>
          <w:numId w:val="1"/>
        </w:numPr>
        <w:ind w:leftChars="0"/>
      </w:pPr>
      <w:r w:rsidRPr="0053723C">
        <w:rPr>
          <w:noProof/>
        </w:rPr>
        <w:drawing>
          <wp:anchor distT="0" distB="0" distL="114300" distR="114300" simplePos="0" relativeHeight="251659264" behindDoc="0" locked="0" layoutInCell="1" allowOverlap="1" wp14:anchorId="5E2F5F24" wp14:editId="3174FFB0">
            <wp:simplePos x="0" y="0"/>
            <wp:positionH relativeFrom="margin">
              <wp:align>right</wp:align>
            </wp:positionH>
            <wp:positionV relativeFrom="paragraph">
              <wp:posOffset>62279</wp:posOffset>
            </wp:positionV>
            <wp:extent cx="1897380" cy="821055"/>
            <wp:effectExtent l="0" t="0" r="762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7380" cy="821055"/>
                    </a:xfrm>
                    <a:prstGeom prst="rect">
                      <a:avLst/>
                    </a:prstGeom>
                  </pic:spPr>
                </pic:pic>
              </a:graphicData>
            </a:graphic>
          </wp:anchor>
        </w:drawing>
      </w:r>
      <w:r w:rsidR="00E75753">
        <w:rPr>
          <w:rFonts w:hint="eastAsia"/>
        </w:rPr>
        <w:t>C</w:t>
      </w:r>
      <w:r w:rsidR="00E75753">
        <w:t>lick + button at the right window.</w:t>
      </w:r>
    </w:p>
    <w:p w14:paraId="29AE2018" w14:textId="2602B35D" w:rsidR="00E75753" w:rsidRDefault="00E75753" w:rsidP="00E75753">
      <w:pPr>
        <w:pStyle w:val="ab"/>
        <w:numPr>
          <w:ilvl w:val="0"/>
          <w:numId w:val="1"/>
        </w:numPr>
        <w:ind w:leftChars="0"/>
      </w:pPr>
      <w:r>
        <w:rPr>
          <w:rFonts w:hint="eastAsia"/>
        </w:rPr>
        <w:t>C</w:t>
      </w:r>
      <w:r>
        <w:t xml:space="preserve">hoose pump model, COM Port, and baud rate. If you do not know about these terms, please check the syringe pump manual. </w:t>
      </w:r>
      <w:r w:rsidR="0053723C">
        <w:t xml:space="preserve">ID should be 0. </w:t>
      </w:r>
      <w:r>
        <w:t xml:space="preserve">Click &lt;Enter&gt; of the </w:t>
      </w:r>
      <w:r w:rsidR="0053723C">
        <w:t xml:space="preserve">popup window. </w:t>
      </w:r>
    </w:p>
    <w:p w14:paraId="44B87763" w14:textId="4F900167" w:rsidR="00E75753" w:rsidRDefault="0053723C" w:rsidP="00E75753">
      <w:pPr>
        <w:pStyle w:val="ab"/>
        <w:numPr>
          <w:ilvl w:val="0"/>
          <w:numId w:val="1"/>
        </w:numPr>
        <w:ind w:leftChars="0"/>
      </w:pPr>
      <w:r>
        <w:rPr>
          <w:rFonts w:hint="eastAsia"/>
        </w:rPr>
        <w:t>Y</w:t>
      </w:r>
      <w:r>
        <w:t>ou will find pump information on the window.</w:t>
      </w:r>
    </w:p>
    <w:p w14:paraId="203A383C" w14:textId="77777777" w:rsidR="004A112F" w:rsidRPr="00574C6F" w:rsidRDefault="004A112F" w:rsidP="00810703"/>
    <w:p w14:paraId="3BFBEC37" w14:textId="722E4D34" w:rsidR="004A112F" w:rsidRDefault="00DD3D1E" w:rsidP="00810703">
      <w:pPr>
        <w:pStyle w:val="3"/>
      </w:pPr>
      <w:r>
        <w:rPr>
          <w:rFonts w:hint="eastAsia"/>
        </w:rPr>
        <w:t>S</w:t>
      </w:r>
      <w:r>
        <w:t>etting</w:t>
      </w:r>
    </w:p>
    <w:p w14:paraId="70C2170D" w14:textId="2589CB31" w:rsidR="00574C6F" w:rsidRDefault="0053723C" w:rsidP="0053723C">
      <w:pPr>
        <w:pStyle w:val="ab"/>
        <w:numPr>
          <w:ilvl w:val="0"/>
          <w:numId w:val="2"/>
        </w:numPr>
        <w:ind w:leftChars="0"/>
      </w:pPr>
      <w:r w:rsidRPr="0053723C">
        <w:rPr>
          <w:noProof/>
        </w:rPr>
        <w:drawing>
          <wp:anchor distT="0" distB="0" distL="114300" distR="114300" simplePos="0" relativeHeight="251660288" behindDoc="0" locked="0" layoutInCell="1" allowOverlap="1" wp14:anchorId="6BC38747" wp14:editId="732BB164">
            <wp:simplePos x="0" y="0"/>
            <wp:positionH relativeFrom="margin">
              <wp:align>right</wp:align>
            </wp:positionH>
            <wp:positionV relativeFrom="paragraph">
              <wp:posOffset>35560</wp:posOffset>
            </wp:positionV>
            <wp:extent cx="2747010" cy="824230"/>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7010" cy="82423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C</w:t>
      </w:r>
      <w:r>
        <w:t xml:space="preserve">lick </w:t>
      </w:r>
      <w:r w:rsidR="00230A3E">
        <w:t xml:space="preserve">the </w:t>
      </w:r>
      <w:r>
        <w:t>Setting button at the right window.</w:t>
      </w:r>
    </w:p>
    <w:p w14:paraId="10B96D9B" w14:textId="20EE3F03" w:rsidR="0053723C" w:rsidRDefault="0053723C" w:rsidP="0053723C">
      <w:pPr>
        <w:pStyle w:val="ab"/>
        <w:numPr>
          <w:ilvl w:val="0"/>
          <w:numId w:val="2"/>
        </w:numPr>
        <w:ind w:leftChars="0"/>
      </w:pPr>
      <w:r>
        <w:rPr>
          <w:rFonts w:hint="eastAsia"/>
        </w:rPr>
        <w:t>C</w:t>
      </w:r>
      <w:r>
        <w:t xml:space="preserve">hoose your syringe from the list. Content is just for </w:t>
      </w:r>
      <w:r w:rsidR="00DA16B0">
        <w:t>commenting</w:t>
      </w:r>
      <w:r>
        <w:t xml:space="preserve">. Do not change from normal mode. Concentration can be either actual value or 1 for convenience but should not be 0. You can change </w:t>
      </w:r>
      <w:r w:rsidR="00DA16B0">
        <w:t xml:space="preserve">the </w:t>
      </w:r>
      <w:r>
        <w:t xml:space="preserve">flow rate for </w:t>
      </w:r>
      <w:r w:rsidR="00DA16B0">
        <w:t xml:space="preserve">the </w:t>
      </w:r>
      <w:r>
        <w:t>communication test.</w:t>
      </w:r>
    </w:p>
    <w:p w14:paraId="09156A03" w14:textId="7E3B1659" w:rsidR="0053723C" w:rsidRDefault="0053723C" w:rsidP="0053723C">
      <w:pPr>
        <w:pStyle w:val="ab"/>
        <w:numPr>
          <w:ilvl w:val="0"/>
          <w:numId w:val="2"/>
        </w:numPr>
        <w:ind w:leftChars="0"/>
      </w:pPr>
      <w:r>
        <w:lastRenderedPageBreak/>
        <w:t>Click &lt;</w:t>
      </w:r>
      <w:r>
        <w:rPr>
          <w:rFonts w:hint="eastAsia"/>
        </w:rPr>
        <w:t>E</w:t>
      </w:r>
      <w:r>
        <w:t xml:space="preserve">nter&gt;. </w:t>
      </w:r>
    </w:p>
    <w:p w14:paraId="242F2B7C" w14:textId="5809F924" w:rsidR="004A112F" w:rsidRPr="0053723C" w:rsidRDefault="004A112F" w:rsidP="00810703"/>
    <w:p w14:paraId="6F487F8F" w14:textId="2A393E75" w:rsidR="004A112F" w:rsidRDefault="00DD3D1E" w:rsidP="00810703">
      <w:pPr>
        <w:pStyle w:val="3"/>
      </w:pPr>
      <w:r>
        <w:rPr>
          <w:rFonts w:hint="eastAsia"/>
        </w:rPr>
        <w:t>R</w:t>
      </w:r>
      <w:r>
        <w:t>un/Stop</w:t>
      </w:r>
    </w:p>
    <w:p w14:paraId="711DD41C" w14:textId="396A077C" w:rsidR="0053723C" w:rsidRPr="0053723C" w:rsidRDefault="0053723C" w:rsidP="0053723C">
      <w:r>
        <w:t xml:space="preserve">If you click </w:t>
      </w:r>
      <w:r w:rsidR="00230A3E">
        <w:t xml:space="preserve">the </w:t>
      </w:r>
      <w:r>
        <w:t xml:space="preserve">Run/Stop button of the right window, your syringe pump will run. </w:t>
      </w:r>
    </w:p>
    <w:p w14:paraId="64A94387" w14:textId="435BE4F9" w:rsidR="004A112F" w:rsidRDefault="00112868" w:rsidP="00810703">
      <w:pPr>
        <w:pStyle w:val="2"/>
      </w:pPr>
      <w:r>
        <w:rPr>
          <w:noProof/>
        </w:rPr>
        <w:drawing>
          <wp:anchor distT="0" distB="0" distL="114300" distR="114300" simplePos="0" relativeHeight="251661312" behindDoc="0" locked="0" layoutInCell="1" allowOverlap="1" wp14:anchorId="02874229" wp14:editId="3D351591">
            <wp:simplePos x="0" y="0"/>
            <wp:positionH relativeFrom="column">
              <wp:posOffset>3984625</wp:posOffset>
            </wp:positionH>
            <wp:positionV relativeFrom="paragraph">
              <wp:posOffset>139700</wp:posOffset>
            </wp:positionV>
            <wp:extent cx="1423670" cy="1384300"/>
            <wp:effectExtent l="0" t="0" r="5080" b="635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3670" cy="1384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3D1E">
        <w:t>Other devices</w:t>
      </w:r>
      <w:r w:rsidR="00182C99">
        <w:t xml:space="preserve"> and program</w:t>
      </w:r>
    </w:p>
    <w:p w14:paraId="458AD2F2" w14:textId="31F9E318" w:rsidR="00112868" w:rsidRDefault="00112868" w:rsidP="00112868">
      <w:r>
        <w:rPr>
          <w:rFonts w:hint="eastAsia"/>
        </w:rPr>
        <w:t>O</w:t>
      </w:r>
      <w:r>
        <w:t xml:space="preserve">ther devices are registered and operated at the center window. To register devices, you need to choose device type in the list tab and then, press + button. </w:t>
      </w:r>
    </w:p>
    <w:p w14:paraId="6097F472" w14:textId="6CE6F66F" w:rsidR="004A112F" w:rsidRDefault="0053723C" w:rsidP="0053723C">
      <w:pPr>
        <w:pStyle w:val="3"/>
      </w:pPr>
      <w:r>
        <w:rPr>
          <w:rFonts w:hint="eastAsia"/>
        </w:rPr>
        <w:t>T</w:t>
      </w:r>
      <w:r>
        <w:t>C-01</w:t>
      </w:r>
    </w:p>
    <w:p w14:paraId="5E7CCB70" w14:textId="38173DAB" w:rsidR="00112868" w:rsidRDefault="00112868" w:rsidP="00810703">
      <w:r w:rsidRPr="00112868">
        <w:rPr>
          <w:noProof/>
        </w:rPr>
        <w:drawing>
          <wp:anchor distT="0" distB="0" distL="114300" distR="114300" simplePos="0" relativeHeight="251662336" behindDoc="0" locked="0" layoutInCell="1" allowOverlap="1" wp14:anchorId="3925FDCA" wp14:editId="2C7C7A76">
            <wp:simplePos x="0" y="0"/>
            <wp:positionH relativeFrom="margin">
              <wp:posOffset>3713480</wp:posOffset>
            </wp:positionH>
            <wp:positionV relativeFrom="paragraph">
              <wp:posOffset>294005</wp:posOffset>
            </wp:positionV>
            <wp:extent cx="1681480" cy="1262380"/>
            <wp:effectExtent l="0" t="0" r="0" b="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81480" cy="126238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C</w:t>
      </w:r>
      <w:r>
        <w:t xml:space="preserve">hoose “TC-01” at the tab. When you press + button, you will see the popup window. ID should be 41. At the input channel tab, you need to choose your TC-01 device name. When you connect TC-01, </w:t>
      </w:r>
      <w:r w:rsidR="00DA16B0">
        <w:t xml:space="preserve">a </w:t>
      </w:r>
      <w:r>
        <w:t xml:space="preserve">popup window will tell you the device name. After clicking the Enter button, you will see the chart showing the current temperature. </w:t>
      </w:r>
    </w:p>
    <w:p w14:paraId="17BF6727" w14:textId="3FF81054" w:rsidR="00112868" w:rsidRDefault="00112868" w:rsidP="00810703">
      <w:r w:rsidRPr="00112868">
        <w:rPr>
          <w:noProof/>
        </w:rPr>
        <w:drawing>
          <wp:inline distT="0" distB="0" distL="0" distR="0" wp14:anchorId="782A9932" wp14:editId="4B1D594F">
            <wp:extent cx="2013473" cy="1289674"/>
            <wp:effectExtent l="0" t="0" r="6350" b="635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3473" cy="1289674"/>
                    </a:xfrm>
                    <a:prstGeom prst="rect">
                      <a:avLst/>
                    </a:prstGeom>
                  </pic:spPr>
                </pic:pic>
              </a:graphicData>
            </a:graphic>
          </wp:inline>
        </w:drawing>
      </w:r>
    </w:p>
    <w:p w14:paraId="2A973E2F" w14:textId="03E9C8F8" w:rsidR="00112868" w:rsidRDefault="00112868" w:rsidP="00810703"/>
    <w:p w14:paraId="3ACF7CA7" w14:textId="420FA2D7" w:rsidR="00112868" w:rsidRPr="00112868" w:rsidRDefault="00112868" w:rsidP="00112868">
      <w:pPr>
        <w:pStyle w:val="3"/>
      </w:pPr>
      <w:r w:rsidRPr="00112868">
        <w:rPr>
          <w:noProof/>
        </w:rPr>
        <w:drawing>
          <wp:anchor distT="0" distB="0" distL="114300" distR="114300" simplePos="0" relativeHeight="251663360" behindDoc="0" locked="0" layoutInCell="1" allowOverlap="1" wp14:anchorId="08BD42F5" wp14:editId="36046630">
            <wp:simplePos x="0" y="0"/>
            <wp:positionH relativeFrom="column">
              <wp:posOffset>3085490</wp:posOffset>
            </wp:positionH>
            <wp:positionV relativeFrom="paragraph">
              <wp:posOffset>54577</wp:posOffset>
            </wp:positionV>
            <wp:extent cx="2473458" cy="1453526"/>
            <wp:effectExtent l="0" t="0" r="3175"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3458" cy="1453526"/>
                    </a:xfrm>
                    <a:prstGeom prst="rect">
                      <a:avLst/>
                    </a:prstGeom>
                  </pic:spPr>
                </pic:pic>
              </a:graphicData>
            </a:graphic>
          </wp:anchor>
        </w:drawing>
      </w:r>
      <w:r>
        <w:rPr>
          <w:rFonts w:hint="eastAsia"/>
        </w:rPr>
        <w:t>H</w:t>
      </w:r>
      <w:r>
        <w:t>eater, valve, and start signal</w:t>
      </w:r>
    </w:p>
    <w:p w14:paraId="5D39C7D0" w14:textId="70BD08AA" w:rsidR="00112868" w:rsidRDefault="00112868" w:rsidP="00112868">
      <w:r>
        <w:rPr>
          <w:rFonts w:hint="eastAsia"/>
        </w:rPr>
        <w:t>C</w:t>
      </w:r>
      <w:r>
        <w:t xml:space="preserve">hoose “Digital Output” at the tab. If you want to use </w:t>
      </w:r>
      <w:r w:rsidR="00DA16B0">
        <w:t xml:space="preserve">the </w:t>
      </w:r>
      <w:r>
        <w:t xml:space="preserve">VA-21 series valve, choose </w:t>
      </w:r>
      <w:r w:rsidR="00DA16B0">
        <w:t xml:space="preserve">the </w:t>
      </w:r>
      <w:r>
        <w:t xml:space="preserve">FLOM valve. You then need to choose </w:t>
      </w:r>
      <w:r w:rsidR="00DA16B0">
        <w:t xml:space="preserve">an </w:t>
      </w:r>
      <w:r>
        <w:t xml:space="preserve">appropriate port number and set ID. Be careful </w:t>
      </w:r>
      <w:r w:rsidR="00DA16B0">
        <w:t>with</w:t>
      </w:r>
      <w:r>
        <w:t xml:space="preserve"> the port and line</w:t>
      </w:r>
      <w:r w:rsidR="00B22482">
        <w:t xml:space="preserve"> number. Channel Name is optional but make sure to enter the description because </w:t>
      </w:r>
      <w:r w:rsidR="00182C99">
        <w:t xml:space="preserve">the misuse of </w:t>
      </w:r>
      <w:r w:rsidR="00DA16B0">
        <w:t xml:space="preserve">the </w:t>
      </w:r>
      <w:r w:rsidR="00182C99">
        <w:t xml:space="preserve">heater will cause </w:t>
      </w:r>
      <w:r w:rsidR="00DA16B0">
        <w:t xml:space="preserve">a </w:t>
      </w:r>
      <w:r w:rsidR="00182C99">
        <w:t>severe accident. The recommended ID list is below:</w:t>
      </w:r>
    </w:p>
    <w:p w14:paraId="6F2A3850" w14:textId="199A61EB" w:rsidR="00182C99" w:rsidRDefault="00182C99" w:rsidP="00112868">
      <w:r>
        <w:t>Heater: 100, Valve: 101, Start signal: 102.</w:t>
      </w:r>
    </w:p>
    <w:p w14:paraId="52AB217A" w14:textId="550CA5F7" w:rsidR="00182C99" w:rsidRDefault="00365149" w:rsidP="00112868">
      <w:r>
        <w:rPr>
          <w:noProof/>
        </w:rPr>
        <w:lastRenderedPageBreak/>
        <w:drawing>
          <wp:anchor distT="0" distB="0" distL="114300" distR="114300" simplePos="0" relativeHeight="251664384" behindDoc="0" locked="0" layoutInCell="1" allowOverlap="1" wp14:anchorId="1942E75D" wp14:editId="12A02CCB">
            <wp:simplePos x="0" y="0"/>
            <wp:positionH relativeFrom="margin">
              <wp:align>right</wp:align>
            </wp:positionH>
            <wp:positionV relativeFrom="paragraph">
              <wp:posOffset>99888</wp:posOffset>
            </wp:positionV>
            <wp:extent cx="1786255" cy="1270000"/>
            <wp:effectExtent l="0" t="0" r="4445" b="635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6255" cy="1270000"/>
                    </a:xfrm>
                    <a:prstGeom prst="rect">
                      <a:avLst/>
                    </a:prstGeom>
                    <a:noFill/>
                    <a:ln>
                      <a:noFill/>
                    </a:ln>
                  </pic:spPr>
                </pic:pic>
              </a:graphicData>
            </a:graphic>
          </wp:anchor>
        </w:drawing>
      </w:r>
      <w:r w:rsidR="00182C99">
        <w:rPr>
          <w:rFonts w:hint="eastAsia"/>
        </w:rPr>
        <w:t>A</w:t>
      </w:r>
      <w:r w:rsidR="00182C99">
        <w:t xml:space="preserve">fter clicking the enter button, the device will be listed on the table. You can manually operate through the </w:t>
      </w:r>
      <w:proofErr w:type="gramStart"/>
      <w:r w:rsidR="00182C99">
        <w:t>On</w:t>
      </w:r>
      <w:proofErr w:type="gramEnd"/>
      <w:r w:rsidR="00182C99">
        <w:t xml:space="preserve">/Off button. It is strongly recommended to test </w:t>
      </w:r>
      <w:r w:rsidR="001E15C7">
        <w:t xml:space="preserve">the </w:t>
      </w:r>
      <w:proofErr w:type="gramStart"/>
      <w:r w:rsidR="00182C99">
        <w:t>On</w:t>
      </w:r>
      <w:proofErr w:type="gramEnd"/>
      <w:r w:rsidR="00182C99">
        <w:t xml:space="preserve">/Off functionality of each device before the experiment. </w:t>
      </w:r>
    </w:p>
    <w:p w14:paraId="68FE082A" w14:textId="448E3C63" w:rsidR="00112868" w:rsidRDefault="00112868" w:rsidP="00112868"/>
    <w:p w14:paraId="6EED1370" w14:textId="7E6F53B8" w:rsidR="00182C99" w:rsidRDefault="00182C99" w:rsidP="00182C99">
      <w:pPr>
        <w:pStyle w:val="3"/>
      </w:pPr>
      <w:r>
        <w:rPr>
          <w:rFonts w:hint="eastAsia"/>
        </w:rPr>
        <w:t>T</w:t>
      </w:r>
      <w:r>
        <w:t>emperature control</w:t>
      </w:r>
    </w:p>
    <w:p w14:paraId="53BC6D05" w14:textId="0289E56A" w:rsidR="00182C99" w:rsidRDefault="00365149" w:rsidP="00182C99">
      <w:r>
        <w:rPr>
          <w:noProof/>
        </w:rPr>
        <w:drawing>
          <wp:anchor distT="0" distB="0" distL="114300" distR="114300" simplePos="0" relativeHeight="251666432" behindDoc="0" locked="0" layoutInCell="1" allowOverlap="1" wp14:anchorId="392FEA87" wp14:editId="4B18EFC2">
            <wp:simplePos x="0" y="0"/>
            <wp:positionH relativeFrom="margin">
              <wp:align>right</wp:align>
            </wp:positionH>
            <wp:positionV relativeFrom="paragraph">
              <wp:posOffset>46189</wp:posOffset>
            </wp:positionV>
            <wp:extent cx="3360420" cy="1148715"/>
            <wp:effectExtent l="0" t="0" r="0" b="0"/>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0420" cy="1148715"/>
                    </a:xfrm>
                    <a:prstGeom prst="rect">
                      <a:avLst/>
                    </a:prstGeom>
                    <a:noFill/>
                    <a:ln>
                      <a:noFill/>
                    </a:ln>
                  </pic:spPr>
                </pic:pic>
              </a:graphicData>
            </a:graphic>
          </wp:anchor>
        </w:drawing>
      </w:r>
      <w:r w:rsidR="00182C99">
        <w:rPr>
          <w:rFonts w:hint="eastAsia"/>
        </w:rPr>
        <w:t>T</w:t>
      </w:r>
      <w:r w:rsidR="00182C99">
        <w:t xml:space="preserve">emperature control is achieved by controlling heater with </w:t>
      </w:r>
      <w:r w:rsidR="00DA16B0">
        <w:t xml:space="preserve">the </w:t>
      </w:r>
      <w:r w:rsidR="00182C99">
        <w:t>TC-01 input. To implement the functionality, you need to register temperature controller on the right window. You can register by clicking the + button and choose Temp. Cont. program (left). At the setting window, you need</w:t>
      </w:r>
      <w:r>
        <w:t xml:space="preserve"> </w:t>
      </w:r>
      <w:r w:rsidR="00182C99">
        <w:t>assign</w:t>
      </w:r>
      <w:r>
        <w:t>ing of</w:t>
      </w:r>
      <w:r w:rsidR="00182C99">
        <w:t xml:space="preserve"> </w:t>
      </w:r>
      <w:r w:rsidR="009D2E1C">
        <w:t>TC-01 ID (41, recommended) and heater ID (100). After clicking Enter button, temperature controller is ready to run.</w:t>
      </w:r>
      <w:r>
        <w:t xml:space="preserve"> When you press Run button, heater will start. </w:t>
      </w:r>
      <w:r w:rsidR="009D2E1C">
        <w:t xml:space="preserve"> </w:t>
      </w:r>
      <w:r w:rsidR="00182C99">
        <w:t xml:space="preserve"> </w:t>
      </w:r>
    </w:p>
    <w:p w14:paraId="3DCC3220" w14:textId="77777777" w:rsidR="00365149" w:rsidRDefault="00365149" w:rsidP="00182C99"/>
    <w:p w14:paraId="6718B31A" w14:textId="389BF570" w:rsidR="00365149" w:rsidRDefault="00365149" w:rsidP="00365149">
      <w:pPr>
        <w:pStyle w:val="3"/>
      </w:pPr>
      <w:r w:rsidRPr="00365149">
        <w:rPr>
          <w:noProof/>
        </w:rPr>
        <w:drawing>
          <wp:anchor distT="0" distB="0" distL="114300" distR="114300" simplePos="0" relativeHeight="251665408" behindDoc="0" locked="0" layoutInCell="1" allowOverlap="1" wp14:anchorId="529DD08B" wp14:editId="52FE1400">
            <wp:simplePos x="0" y="0"/>
            <wp:positionH relativeFrom="margin">
              <wp:posOffset>1427207</wp:posOffset>
            </wp:positionH>
            <wp:positionV relativeFrom="paragraph">
              <wp:posOffset>31260</wp:posOffset>
            </wp:positionV>
            <wp:extent cx="2052955" cy="1455420"/>
            <wp:effectExtent l="0" t="0" r="4445"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52955" cy="1455420"/>
                    </a:xfrm>
                    <a:prstGeom prst="rect">
                      <a:avLst/>
                    </a:prstGeom>
                  </pic:spPr>
                </pic:pic>
              </a:graphicData>
            </a:graphic>
          </wp:anchor>
        </w:drawing>
      </w:r>
      <w:r w:rsidRPr="00365149">
        <w:rPr>
          <w:noProof/>
        </w:rPr>
        <w:drawing>
          <wp:anchor distT="0" distB="0" distL="114300" distR="114300" simplePos="0" relativeHeight="251667456" behindDoc="0" locked="0" layoutInCell="1" allowOverlap="1" wp14:anchorId="7ACAD1F0" wp14:editId="5EDC87F5">
            <wp:simplePos x="0" y="0"/>
            <wp:positionH relativeFrom="column">
              <wp:posOffset>3507353</wp:posOffset>
            </wp:positionH>
            <wp:positionV relativeFrom="paragraph">
              <wp:posOffset>35560</wp:posOffset>
            </wp:positionV>
            <wp:extent cx="2123440" cy="1506220"/>
            <wp:effectExtent l="0" t="0" r="0"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23440" cy="1506220"/>
                    </a:xfrm>
                    <a:prstGeom prst="rect">
                      <a:avLst/>
                    </a:prstGeom>
                  </pic:spPr>
                </pic:pic>
              </a:graphicData>
            </a:graphic>
            <wp14:sizeRelH relativeFrom="margin">
              <wp14:pctWidth>0</wp14:pctWidth>
            </wp14:sizeRelH>
            <wp14:sizeRelV relativeFrom="margin">
              <wp14:pctHeight>0</wp14:pctHeight>
            </wp14:sizeRelV>
          </wp:anchor>
        </w:drawing>
      </w:r>
      <w:r>
        <w:t>Temperature logging</w:t>
      </w:r>
    </w:p>
    <w:p w14:paraId="365F6B28" w14:textId="295B1B73" w:rsidR="00365149" w:rsidRPr="00365149" w:rsidRDefault="00E45503" w:rsidP="00365149">
      <w:pPr>
        <w:ind w:left="100" w:hangingChars="50" w:hanging="100"/>
      </w:pPr>
      <w:r w:rsidRPr="00F96D86">
        <w:rPr>
          <w:noProof/>
        </w:rPr>
        <w:drawing>
          <wp:anchor distT="0" distB="0" distL="114300" distR="114300" simplePos="0" relativeHeight="251668480" behindDoc="0" locked="0" layoutInCell="1" allowOverlap="1" wp14:anchorId="1A23D74A" wp14:editId="317E2B27">
            <wp:simplePos x="0" y="0"/>
            <wp:positionH relativeFrom="margin">
              <wp:posOffset>2012426</wp:posOffset>
            </wp:positionH>
            <wp:positionV relativeFrom="paragraph">
              <wp:posOffset>1583552</wp:posOffset>
            </wp:positionV>
            <wp:extent cx="3451225" cy="1939925"/>
            <wp:effectExtent l="0" t="0" r="0" b="3175"/>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1225" cy="1939925"/>
                    </a:xfrm>
                    <a:prstGeom prst="rect">
                      <a:avLst/>
                    </a:prstGeom>
                  </pic:spPr>
                </pic:pic>
              </a:graphicData>
            </a:graphic>
          </wp:anchor>
        </w:drawing>
      </w:r>
      <w:r w:rsidR="00365149">
        <w:t>Register data logger at the right window. Then, enter TC-01 ID (41) in the setting window. After clicking the &lt;Register channels&gt;, you can start data logging.</w:t>
      </w:r>
      <w:r w:rsidR="00365149" w:rsidRPr="00365149">
        <w:t xml:space="preserve"> </w:t>
      </w:r>
    </w:p>
    <w:p w14:paraId="456A1EAB" w14:textId="5767CACF" w:rsidR="007C03AA" w:rsidRDefault="00DD3D1E" w:rsidP="00810703">
      <w:pPr>
        <w:pStyle w:val="2"/>
      </w:pPr>
      <w:r>
        <w:t>Automated analysis</w:t>
      </w:r>
    </w:p>
    <w:p w14:paraId="2D03BB64" w14:textId="7D3A196D" w:rsidR="00E45503" w:rsidRDefault="00365149" w:rsidP="00810703">
      <w:r>
        <w:rPr>
          <w:rFonts w:hint="eastAsia"/>
        </w:rPr>
        <w:t>R</w:t>
      </w:r>
      <w:r>
        <w:t xml:space="preserve">egister </w:t>
      </w:r>
      <w:r w:rsidR="00230A3E">
        <w:t xml:space="preserve">the </w:t>
      </w:r>
      <w:r>
        <w:t xml:space="preserve">“Stereochemical analyzer” program at the right window. </w:t>
      </w:r>
      <w:r w:rsidR="00D870D9">
        <w:t xml:space="preserve">When you click the setting button, you will see </w:t>
      </w:r>
      <w:r w:rsidR="00230A3E">
        <w:t xml:space="preserve">the </w:t>
      </w:r>
      <w:r w:rsidR="00D870D9">
        <w:t>analyzer window and Table window.</w:t>
      </w:r>
      <w:r w:rsidR="00F548AA">
        <w:rPr>
          <w:rFonts w:hint="eastAsia"/>
        </w:rPr>
        <w:t xml:space="preserve"> </w:t>
      </w:r>
      <w:r w:rsidR="00F548AA">
        <w:t xml:space="preserve">Refer the spreadsheet </w:t>
      </w:r>
      <w:r w:rsidR="00F50DC2">
        <w:t xml:space="preserve">in the &lt;file path&gt; dialog and click &lt;Load&gt;. You can use </w:t>
      </w:r>
      <w:r w:rsidR="00230A3E">
        <w:t xml:space="preserve">the </w:t>
      </w:r>
      <w:r w:rsidR="00F50DC2">
        <w:t xml:space="preserve">excel file template to make a spreadsheet with your measurement conditions. Concentration written in the spreadsheet should be identical to that in the pump setting. Choose appropriate IDs of the pump, logger, valve, start signal, and temperature controller. </w:t>
      </w:r>
    </w:p>
    <w:p w14:paraId="24E363CD" w14:textId="76A4BCF1" w:rsidR="00BA027F" w:rsidRDefault="00F50DC2" w:rsidP="00810703">
      <w:r>
        <w:lastRenderedPageBreak/>
        <w:t xml:space="preserve">KYOCHAN and HPLC synchronize only with the start signal that KYOCHAN generates at the end of the pumping. You need to start up </w:t>
      </w:r>
      <w:r w:rsidR="00230A3E">
        <w:t xml:space="preserve">your </w:t>
      </w:r>
      <w:r>
        <w:t xml:space="preserve">HPLC system with the native control software (i.e. LabSolutions by Shimadzu, </w:t>
      </w:r>
      <w:proofErr w:type="spellStart"/>
      <w:r w:rsidRPr="00F50DC2">
        <w:t>ChromNAV</w:t>
      </w:r>
      <w:proofErr w:type="spellEnd"/>
      <w:r>
        <w:t xml:space="preserve"> by JASCO). Usually, HPLC control software provides </w:t>
      </w:r>
      <w:r w:rsidR="00230A3E">
        <w:t>a “</w:t>
      </w:r>
      <w:r>
        <w:t>batch analysis” function</w:t>
      </w:r>
      <w:r w:rsidR="00E45503">
        <w:t xml:space="preserve"> which enables </w:t>
      </w:r>
      <w:r w:rsidR="00230A3E">
        <w:t xml:space="preserve">the </w:t>
      </w:r>
      <w:r w:rsidR="00E45503">
        <w:t>repetition of start signal waiting and analysis</w:t>
      </w:r>
      <w:r>
        <w:t>. If you correctly input the HPLC analysis time in KYOCHAN, these two system</w:t>
      </w:r>
      <w:r w:rsidR="00E45503">
        <w:t>s</w:t>
      </w:r>
      <w:r>
        <w:t xml:space="preserve"> work </w:t>
      </w:r>
      <w:r w:rsidR="00E45503">
        <w:rPr>
          <w:rFonts w:hint="eastAsia"/>
        </w:rPr>
        <w:t>c</w:t>
      </w:r>
      <w:r w:rsidR="00E45503">
        <w:t>omplementary.</w:t>
      </w:r>
    </w:p>
    <w:p w14:paraId="4CFD8EE4" w14:textId="69553A22" w:rsidR="00E45503" w:rsidRDefault="00E45503" w:rsidP="00810703">
      <w:r>
        <w:t>After finishing both setup, press Run button at the right window</w:t>
      </w:r>
      <w:r w:rsidR="00230A3E">
        <w:t xml:space="preserve"> to begin temperature control, logging, pumping, valve rotation, and analysis</w:t>
      </w:r>
      <w:r>
        <w:t xml:space="preserve">. Pump flow rate, valve positioning, set temperature automatically change according to the spreadsheet you have made. </w:t>
      </w:r>
    </w:p>
    <w:p w14:paraId="7DD53F22" w14:textId="2738CD3E" w:rsidR="00967902" w:rsidRPr="004A112F" w:rsidRDefault="00D877F6" w:rsidP="00810703">
      <w:pPr>
        <w:rPr>
          <w:noProof/>
        </w:rPr>
      </w:pPr>
      <w:r w:rsidRPr="00D877F6">
        <w:rPr>
          <w:noProof/>
        </w:rPr>
        <w:drawing>
          <wp:inline distT="0" distB="0" distL="0" distR="0" wp14:anchorId="7FA5DD39" wp14:editId="078F475A">
            <wp:extent cx="5400040" cy="303403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034030"/>
                    </a:xfrm>
                    <a:prstGeom prst="rect">
                      <a:avLst/>
                    </a:prstGeom>
                  </pic:spPr>
                </pic:pic>
              </a:graphicData>
            </a:graphic>
          </wp:inline>
        </w:drawing>
      </w:r>
    </w:p>
    <w:sectPr w:rsidR="00967902" w:rsidRPr="004A112F">
      <w:footerReference w:type="default" r:id="rId2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DE139" w14:textId="77777777" w:rsidR="004D69B1" w:rsidRDefault="004D69B1" w:rsidP="00810703">
      <w:r>
        <w:separator/>
      </w:r>
    </w:p>
  </w:endnote>
  <w:endnote w:type="continuationSeparator" w:id="0">
    <w:p w14:paraId="68C7EEF2" w14:textId="77777777" w:rsidR="004D69B1" w:rsidRDefault="004D69B1" w:rsidP="00810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0030710"/>
      <w:docPartObj>
        <w:docPartGallery w:val="Page Numbers (Bottom of Page)"/>
        <w:docPartUnique/>
      </w:docPartObj>
    </w:sdtPr>
    <w:sdtContent>
      <w:p w14:paraId="55B85FC2" w14:textId="7F7505C4" w:rsidR="001E15C7" w:rsidRDefault="001E15C7" w:rsidP="00810703">
        <w:pPr>
          <w:pStyle w:val="a5"/>
        </w:pPr>
        <w:r>
          <w:fldChar w:fldCharType="begin"/>
        </w:r>
        <w:r>
          <w:instrText>PAGE   \* MERGEFORMAT</w:instrText>
        </w:r>
        <w:r>
          <w:fldChar w:fldCharType="separate"/>
        </w:r>
        <w:r>
          <w:rPr>
            <w:lang w:val="ja-JP"/>
          </w:rPr>
          <w:t>2</w:t>
        </w:r>
        <w:r>
          <w:fldChar w:fldCharType="end"/>
        </w:r>
      </w:p>
    </w:sdtContent>
  </w:sdt>
  <w:p w14:paraId="2E706D23" w14:textId="77777777" w:rsidR="001E15C7" w:rsidRDefault="001E15C7" w:rsidP="0081070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693D1" w14:textId="77777777" w:rsidR="004D69B1" w:rsidRDefault="004D69B1" w:rsidP="00810703">
      <w:r>
        <w:separator/>
      </w:r>
    </w:p>
  </w:footnote>
  <w:footnote w:type="continuationSeparator" w:id="0">
    <w:p w14:paraId="4444E2E0" w14:textId="77777777" w:rsidR="004D69B1" w:rsidRDefault="004D69B1" w:rsidP="008107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06482"/>
    <w:multiLevelType w:val="hybridMultilevel"/>
    <w:tmpl w:val="B5E6EAE4"/>
    <w:lvl w:ilvl="0" w:tplc="AC2A4E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631537F"/>
    <w:multiLevelType w:val="hybridMultilevel"/>
    <w:tmpl w:val="8A1238E6"/>
    <w:lvl w:ilvl="0" w:tplc="B2364F9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B8"/>
    <w:rsid w:val="00017633"/>
    <w:rsid w:val="00112868"/>
    <w:rsid w:val="00165854"/>
    <w:rsid w:val="001725FC"/>
    <w:rsid w:val="0017361D"/>
    <w:rsid w:val="00182C99"/>
    <w:rsid w:val="001A4120"/>
    <w:rsid w:val="001C48B7"/>
    <w:rsid w:val="001D7544"/>
    <w:rsid w:val="001E15C7"/>
    <w:rsid w:val="001F1C9E"/>
    <w:rsid w:val="00230A3E"/>
    <w:rsid w:val="00231503"/>
    <w:rsid w:val="003346BB"/>
    <w:rsid w:val="00342F17"/>
    <w:rsid w:val="00365149"/>
    <w:rsid w:val="003E20EB"/>
    <w:rsid w:val="00435CE8"/>
    <w:rsid w:val="00486A01"/>
    <w:rsid w:val="004A112F"/>
    <w:rsid w:val="004D69B1"/>
    <w:rsid w:val="00505181"/>
    <w:rsid w:val="005152EA"/>
    <w:rsid w:val="005211D4"/>
    <w:rsid w:val="00521F5D"/>
    <w:rsid w:val="00525004"/>
    <w:rsid w:val="00526BB2"/>
    <w:rsid w:val="0053723C"/>
    <w:rsid w:val="00574C6F"/>
    <w:rsid w:val="005A2703"/>
    <w:rsid w:val="005C2E17"/>
    <w:rsid w:val="005F6FBB"/>
    <w:rsid w:val="005F7055"/>
    <w:rsid w:val="0061510E"/>
    <w:rsid w:val="00643AC6"/>
    <w:rsid w:val="006D7FB2"/>
    <w:rsid w:val="00703D74"/>
    <w:rsid w:val="00734C5D"/>
    <w:rsid w:val="007670DD"/>
    <w:rsid w:val="00793FFE"/>
    <w:rsid w:val="007C03AA"/>
    <w:rsid w:val="007D239B"/>
    <w:rsid w:val="00810703"/>
    <w:rsid w:val="00831869"/>
    <w:rsid w:val="00851E2F"/>
    <w:rsid w:val="00922713"/>
    <w:rsid w:val="00922799"/>
    <w:rsid w:val="00967902"/>
    <w:rsid w:val="009829F2"/>
    <w:rsid w:val="009D2E1C"/>
    <w:rsid w:val="009D75E7"/>
    <w:rsid w:val="00A30DEF"/>
    <w:rsid w:val="00A72C20"/>
    <w:rsid w:val="00AB3203"/>
    <w:rsid w:val="00AD66EC"/>
    <w:rsid w:val="00B219B8"/>
    <w:rsid w:val="00B22482"/>
    <w:rsid w:val="00B944B2"/>
    <w:rsid w:val="00BA027F"/>
    <w:rsid w:val="00BC1009"/>
    <w:rsid w:val="00BC5BFC"/>
    <w:rsid w:val="00C12731"/>
    <w:rsid w:val="00C421F1"/>
    <w:rsid w:val="00CB4D3D"/>
    <w:rsid w:val="00D870D9"/>
    <w:rsid w:val="00D877F6"/>
    <w:rsid w:val="00DA16B0"/>
    <w:rsid w:val="00DB6089"/>
    <w:rsid w:val="00DB7BB5"/>
    <w:rsid w:val="00DD3D1E"/>
    <w:rsid w:val="00E20F1E"/>
    <w:rsid w:val="00E45503"/>
    <w:rsid w:val="00E75753"/>
    <w:rsid w:val="00E93B8C"/>
    <w:rsid w:val="00E94EDD"/>
    <w:rsid w:val="00EB44FF"/>
    <w:rsid w:val="00F43D6F"/>
    <w:rsid w:val="00F50DC2"/>
    <w:rsid w:val="00F548AA"/>
    <w:rsid w:val="00F737E9"/>
    <w:rsid w:val="00F76B77"/>
    <w:rsid w:val="00F92E8B"/>
    <w:rsid w:val="00F96D86"/>
    <w:rsid w:val="00FF10C9"/>
    <w:rsid w:val="00FF5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CB654A3"/>
  <w14:defaultImageDpi w14:val="32767"/>
  <w15:chartTrackingRefBased/>
  <w15:docId w15:val="{3632A614-0014-40E2-B32E-878F08019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703"/>
    <w:pPr>
      <w:widowControl w:val="0"/>
      <w:jc w:val="both"/>
    </w:pPr>
    <w:rPr>
      <w:rFonts w:ascii="Segoe UI" w:hAnsi="Segoe UI" w:cs="Segoe UI"/>
      <w:sz w:val="20"/>
      <w:szCs w:val="21"/>
    </w:rPr>
  </w:style>
  <w:style w:type="paragraph" w:styleId="1">
    <w:name w:val="heading 1"/>
    <w:basedOn w:val="a"/>
    <w:next w:val="a"/>
    <w:link w:val="10"/>
    <w:uiPriority w:val="9"/>
    <w:qFormat/>
    <w:rsid w:val="005F7055"/>
    <w:pPr>
      <w:keepNext/>
      <w:spacing w:beforeLines="50" w:before="180" w:afterLines="50" w:after="180"/>
      <w:outlineLvl w:val="0"/>
    </w:pPr>
    <w:rPr>
      <w:rFonts w:ascii="ＭＳ Ｐゴシック" w:eastAsia="ＭＳ Ｐゴシック" w:hAnsi="ＭＳ Ｐゴシック" w:cstheme="majorBidi"/>
      <w:sz w:val="24"/>
      <w:szCs w:val="24"/>
    </w:rPr>
  </w:style>
  <w:style w:type="paragraph" w:styleId="2">
    <w:name w:val="heading 2"/>
    <w:basedOn w:val="a"/>
    <w:next w:val="a"/>
    <w:link w:val="20"/>
    <w:uiPriority w:val="9"/>
    <w:unhideWhenUsed/>
    <w:qFormat/>
    <w:rsid w:val="00810703"/>
    <w:pPr>
      <w:keepNext/>
      <w:spacing w:beforeLines="50" w:before="180"/>
      <w:outlineLvl w:val="1"/>
    </w:pPr>
    <w:rPr>
      <w:rFonts w:eastAsia="ＭＳ Ｐゴシック"/>
      <w:sz w:val="22"/>
    </w:rPr>
  </w:style>
  <w:style w:type="paragraph" w:styleId="3">
    <w:name w:val="heading 3"/>
    <w:basedOn w:val="a"/>
    <w:next w:val="a"/>
    <w:link w:val="30"/>
    <w:uiPriority w:val="9"/>
    <w:unhideWhenUsed/>
    <w:qFormat/>
    <w:rsid w:val="00810703"/>
    <w:pPr>
      <w:outlineLvl w:val="2"/>
    </w:pPr>
    <w:rPr>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112F"/>
    <w:pPr>
      <w:tabs>
        <w:tab w:val="center" w:pos="4252"/>
        <w:tab w:val="right" w:pos="8504"/>
      </w:tabs>
      <w:snapToGrid w:val="0"/>
    </w:pPr>
  </w:style>
  <w:style w:type="character" w:customStyle="1" w:styleId="a4">
    <w:name w:val="ヘッダー (文字)"/>
    <w:basedOn w:val="a0"/>
    <w:link w:val="a3"/>
    <w:uiPriority w:val="99"/>
    <w:rsid w:val="004A112F"/>
  </w:style>
  <w:style w:type="paragraph" w:styleId="a5">
    <w:name w:val="footer"/>
    <w:basedOn w:val="a"/>
    <w:link w:val="a6"/>
    <w:uiPriority w:val="99"/>
    <w:unhideWhenUsed/>
    <w:rsid w:val="004A112F"/>
    <w:pPr>
      <w:tabs>
        <w:tab w:val="center" w:pos="4252"/>
        <w:tab w:val="right" w:pos="8504"/>
      </w:tabs>
      <w:snapToGrid w:val="0"/>
    </w:pPr>
  </w:style>
  <w:style w:type="character" w:customStyle="1" w:styleId="a6">
    <w:name w:val="フッター (文字)"/>
    <w:basedOn w:val="a0"/>
    <w:link w:val="a5"/>
    <w:uiPriority w:val="99"/>
    <w:rsid w:val="004A112F"/>
  </w:style>
  <w:style w:type="character" w:customStyle="1" w:styleId="10">
    <w:name w:val="見出し 1 (文字)"/>
    <w:basedOn w:val="a0"/>
    <w:link w:val="1"/>
    <w:uiPriority w:val="9"/>
    <w:rsid w:val="005F7055"/>
    <w:rPr>
      <w:rFonts w:ascii="ＭＳ Ｐゴシック" w:eastAsia="ＭＳ Ｐゴシック" w:hAnsi="ＭＳ Ｐゴシック" w:cstheme="majorBidi"/>
      <w:sz w:val="24"/>
      <w:szCs w:val="24"/>
    </w:rPr>
  </w:style>
  <w:style w:type="character" w:customStyle="1" w:styleId="20">
    <w:name w:val="見出し 2 (文字)"/>
    <w:basedOn w:val="a0"/>
    <w:link w:val="2"/>
    <w:uiPriority w:val="9"/>
    <w:rsid w:val="00810703"/>
    <w:rPr>
      <w:rFonts w:ascii="Segoe UI" w:eastAsia="ＭＳ Ｐゴシック" w:hAnsi="Segoe UI" w:cs="Segoe UI"/>
      <w:sz w:val="22"/>
    </w:rPr>
  </w:style>
  <w:style w:type="character" w:customStyle="1" w:styleId="30">
    <w:name w:val="見出し 3 (文字)"/>
    <w:basedOn w:val="a0"/>
    <w:link w:val="3"/>
    <w:uiPriority w:val="9"/>
    <w:rsid w:val="00810703"/>
    <w:rPr>
      <w:rFonts w:ascii="Segoe UI" w:hAnsi="Segoe UI" w:cs="Segoe UI"/>
      <w:sz w:val="20"/>
      <w:szCs w:val="21"/>
      <w:u w:val="single"/>
    </w:rPr>
  </w:style>
  <w:style w:type="paragraph" w:styleId="a7">
    <w:name w:val="Balloon Text"/>
    <w:basedOn w:val="a"/>
    <w:link w:val="a8"/>
    <w:uiPriority w:val="99"/>
    <w:semiHidden/>
    <w:unhideWhenUsed/>
    <w:rsid w:val="00A30DEF"/>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A30DEF"/>
    <w:rPr>
      <w:rFonts w:asciiTheme="majorHAnsi" w:eastAsiaTheme="majorEastAsia" w:hAnsiTheme="majorHAnsi" w:cstheme="majorBidi"/>
      <w:sz w:val="18"/>
      <w:szCs w:val="18"/>
    </w:rPr>
  </w:style>
  <w:style w:type="paragraph" w:styleId="Web">
    <w:name w:val="Normal (Web)"/>
    <w:basedOn w:val="a"/>
    <w:uiPriority w:val="99"/>
    <w:unhideWhenUsed/>
    <w:rsid w:val="00AB320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9">
    <w:name w:val="Title"/>
    <w:basedOn w:val="a"/>
    <w:next w:val="a"/>
    <w:link w:val="aa"/>
    <w:uiPriority w:val="10"/>
    <w:qFormat/>
    <w:rsid w:val="00DB6089"/>
    <w:pPr>
      <w:spacing w:before="240" w:after="120"/>
      <w:jc w:val="center"/>
      <w:outlineLvl w:val="0"/>
    </w:pPr>
    <w:rPr>
      <w:rFonts w:eastAsiaTheme="majorEastAsia"/>
      <w:sz w:val="32"/>
      <w:szCs w:val="32"/>
    </w:rPr>
  </w:style>
  <w:style w:type="character" w:customStyle="1" w:styleId="aa">
    <w:name w:val="表題 (文字)"/>
    <w:basedOn w:val="a0"/>
    <w:link w:val="a9"/>
    <w:uiPriority w:val="10"/>
    <w:rsid w:val="00DB6089"/>
    <w:rPr>
      <w:rFonts w:ascii="Segoe UI" w:eastAsiaTheme="majorEastAsia" w:hAnsi="Segoe UI" w:cs="Segoe UI"/>
      <w:sz w:val="32"/>
      <w:szCs w:val="32"/>
    </w:rPr>
  </w:style>
  <w:style w:type="paragraph" w:styleId="ab">
    <w:name w:val="List Paragraph"/>
    <w:basedOn w:val="a"/>
    <w:uiPriority w:val="34"/>
    <w:qFormat/>
    <w:rsid w:val="00E7575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713295">
      <w:bodyDiv w:val="1"/>
      <w:marLeft w:val="0"/>
      <w:marRight w:val="0"/>
      <w:marTop w:val="0"/>
      <w:marBottom w:val="0"/>
      <w:divBdr>
        <w:top w:val="none" w:sz="0" w:space="0" w:color="auto"/>
        <w:left w:val="none" w:sz="0" w:space="0" w:color="auto"/>
        <w:bottom w:val="none" w:sz="0" w:space="0" w:color="auto"/>
        <w:right w:val="none" w:sz="0" w:space="0" w:color="auto"/>
      </w:divBdr>
    </w:div>
    <w:div w:id="35114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485F3-6077-47F0-A4FD-B0A8746B0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1</Pages>
  <Words>1041</Words>
  <Characters>5936</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Asano Shusaku</dc:creator>
  <cp:keywords/>
  <dc:description/>
  <cp:lastModifiedBy>Shusaku</cp:lastModifiedBy>
  <cp:revision>40</cp:revision>
  <dcterms:created xsi:type="dcterms:W3CDTF">2020-06-18T08:19:00Z</dcterms:created>
  <dcterms:modified xsi:type="dcterms:W3CDTF">2021-05-26T00:45:00Z</dcterms:modified>
</cp:coreProperties>
</file>