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FINTRACK</w:t>
      </w:r>
    </w:p>
    <w:p>
      <w:pPr>
        <w:jc w:val="center"/>
      </w:pPr>
      <w:r>
        <w:rPr>
          <w:b/>
          <w:sz w:val="36"/>
        </w:rPr>
        <w:t>Règles métier — Version 1.0</w:t>
      </w:r>
    </w:p>
    <w:p>
      <w:pPr>
        <w:jc w:val="center"/>
      </w:pPr>
      <w:r>
        <w:rPr>
          <w:i/>
        </w:rPr>
        <w:t>Document de référence pour la conception</w:t>
      </w:r>
    </w:p>
    <w:p>
      <w:pPr>
        <w:pStyle w:val="Heading1"/>
      </w:pPr>
      <w:r>
        <w:t>1. Objet</w:t>
      </w:r>
    </w:p>
    <w:p>
      <w:r>
        <w:t>Ce document formalise la logique financière de FinTrack, indépendamment de l’implémentation React, Vite, JavaScript, FastAPI ou SQLite. Il complète les exigences fonctionnelles et non fonctionnelles.</w:t>
      </w:r>
    </w:p>
    <w:p>
      <w:pPr>
        <w:pStyle w:val="Heading1"/>
      </w:pPr>
      <w:r>
        <w:t>2. Principes directeurs</w:t>
      </w:r>
    </w:p>
    <w:p>
      <w:pPr>
        <w:pStyle w:val="ListBullet"/>
      </w:pPr>
      <w:r>
        <w:t>Tout mouvement financier doit être traçable et explicable.</w:t>
      </w:r>
    </w:p>
    <w:p>
      <w:pPr>
        <w:pStyle w:val="ListBullet"/>
      </w:pPr>
      <w:r>
        <w:t>Une modification du solde doit pouvoir être reliée à une opération identifiable.</w:t>
      </w:r>
    </w:p>
    <w:p>
      <w:pPr>
        <w:pStyle w:val="ListBullet"/>
      </w:pPr>
      <w:r>
        <w:t>Un transfert entre comptes n’est pas une dépense de consommation.</w:t>
      </w:r>
    </w:p>
    <w:p>
      <w:pPr>
        <w:pStyle w:val="ListBullet"/>
      </w:pPr>
      <w:r>
        <w:t>L’épargne réduit l’argent disponible, tout en restant distincte de la consommation.</w:t>
      </w:r>
    </w:p>
    <w:p>
      <w:pPr>
        <w:pStyle w:val="ListBullet"/>
      </w:pPr>
      <w:r>
        <w:t>Les devises USD et CDF restent distinctes et ne sont additionnées qu’après conversion.</w:t>
      </w:r>
    </w:p>
    <w:p>
      <w:pPr>
        <w:pStyle w:val="ListBullet"/>
      </w:pPr>
      <w:r>
        <w:t>Les paramètres historiques qui influencent les calculs doivent être historisés.</w:t>
      </w:r>
    </w:p>
    <w:p>
      <w:pPr>
        <w:pStyle w:val="ListBullet"/>
      </w:pPr>
      <w:r>
        <w:t>Une dépense peut être financée par plusieurs sources.</w:t>
      </w:r>
    </w:p>
    <w:p>
      <w:pPr>
        <w:pStyle w:val="Heading1"/>
      </w:pPr>
      <w:r>
        <w:t>3. RB-CO — Comptes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RB-CO-001</w:t>
            </w:r>
          </w:p>
        </w:tc>
        <w:tc>
          <w:tcPr>
            <w:tcW w:type="dxa" w:w="4968"/>
          </w:tcPr>
          <w:p>
            <w:r>
              <w:t>Chaque compte possède un solde et une devise.</w:t>
            </w:r>
          </w:p>
        </w:tc>
      </w:tr>
      <w:tr>
        <w:tc>
          <w:tcPr>
            <w:tcW w:type="dxa" w:w="4968"/>
          </w:tcPr>
          <w:p>
            <w:r>
              <w:t>RB-CO-002</w:t>
            </w:r>
          </w:p>
        </w:tc>
        <w:tc>
          <w:tcPr>
            <w:tcW w:type="dxa" w:w="4968"/>
          </w:tcPr>
          <w:p>
            <w:r>
              <w:t>Un compte peut représenter des espèces, une banque, un portefeuille mobile, une carte, un compte d’épargne ou un type personnalisé.</w:t>
            </w:r>
          </w:p>
        </w:tc>
      </w:tr>
      <w:tr>
        <w:tc>
          <w:tcPr>
            <w:tcW w:type="dxa" w:w="4968"/>
          </w:tcPr>
          <w:p>
            <w:r>
              <w:t>RB-CO-003</w:t>
            </w:r>
          </w:p>
        </w:tc>
        <w:tc>
          <w:tcPr>
            <w:tcW w:type="dxa" w:w="4968"/>
          </w:tcPr>
          <w:p>
            <w:r>
              <w:t>La désactivation d’un compte conserve son historique et empêche son utilisation normale pour de nouvelles opérations.</w:t>
            </w:r>
          </w:p>
        </w:tc>
      </w:tr>
      <w:tr>
        <w:tc>
          <w:tcPr>
            <w:tcW w:type="dxa" w:w="4968"/>
          </w:tcPr>
          <w:p>
            <w:r>
              <w:t>RB-CO-004</w:t>
            </w:r>
          </w:p>
        </w:tc>
        <w:tc>
          <w:tcPr>
            <w:tcW w:type="dxa" w:w="4968"/>
          </w:tcPr>
          <w:p>
            <w:r>
              <w:t>Le solde doit pouvoir être expliqué à partir du solde initial et des mouvements associés.</w:t>
            </w:r>
          </w:p>
        </w:tc>
      </w:tr>
    </w:tbl>
    <w:p>
      <w:pPr>
        <w:pStyle w:val="Heading1"/>
      </w:pPr>
      <w:r>
        <w:t>4. RB-FX — Devises et taux de change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RB-FX-001</w:t>
            </w:r>
          </w:p>
        </w:tc>
        <w:tc>
          <w:tcPr>
            <w:tcW w:type="dxa" w:w="4968"/>
          </w:tcPr>
          <w:p>
            <w:r>
              <w:t>FinTrack doit gérer au minimum USD et CDF.</w:t>
            </w:r>
          </w:p>
        </w:tc>
      </w:tr>
      <w:tr>
        <w:tc>
          <w:tcPr>
            <w:tcW w:type="dxa" w:w="4968"/>
          </w:tcPr>
          <w:p>
            <w:r>
              <w:t>RB-FX-002</w:t>
            </w:r>
          </w:p>
        </w:tc>
        <w:tc>
          <w:tcPr>
            <w:tcW w:type="dxa" w:w="4968"/>
          </w:tcPr>
          <w:p>
            <w:r>
              <w:t>Chaque montant financier est associé à une devise.</w:t>
            </w:r>
          </w:p>
        </w:tc>
      </w:tr>
      <w:tr>
        <w:tc>
          <w:tcPr>
            <w:tcW w:type="dxa" w:w="4968"/>
          </w:tcPr>
          <w:p>
            <w:r>
              <w:t>RB-FX-003</w:t>
            </w:r>
          </w:p>
        </w:tc>
        <w:tc>
          <w:tcPr>
            <w:tcW w:type="dxa" w:w="4968"/>
          </w:tcPr>
          <w:p>
            <w:r>
              <w:t>Les montants de devises différentes ne doivent jamais être additionnés directement.</w:t>
            </w:r>
          </w:p>
        </w:tc>
      </w:tr>
      <w:tr>
        <w:tc>
          <w:tcPr>
            <w:tcW w:type="dxa" w:w="4968"/>
          </w:tcPr>
          <w:p>
            <w:r>
              <w:t>RB-FX-004</w:t>
            </w:r>
          </w:p>
        </w:tc>
        <w:tc>
          <w:tcPr>
            <w:tcW w:type="dxa" w:w="4968"/>
          </w:tcPr>
          <w:p>
            <w:r>
              <w:t>Une devise de référence peut être utilisée pour les budgets, tableaux de bord et comparaisons.</w:t>
            </w:r>
          </w:p>
        </w:tc>
      </w:tr>
      <w:tr>
        <w:tc>
          <w:tcPr>
            <w:tcW w:type="dxa" w:w="4968"/>
          </w:tcPr>
          <w:p>
            <w:r>
              <w:t>RB-FX-005</w:t>
            </w:r>
          </w:p>
        </w:tc>
        <w:tc>
          <w:tcPr>
            <w:tcW w:type="dxa" w:w="4968"/>
          </w:tcPr>
          <w:p>
            <w:r>
              <w:t>Le taux USD/CDF est configurable dans les paramètres et peut être modifié par l’utilisateur.</w:t>
            </w:r>
          </w:p>
        </w:tc>
      </w:tr>
      <w:tr>
        <w:tc>
          <w:tcPr>
            <w:tcW w:type="dxa" w:w="4968"/>
          </w:tcPr>
          <w:p>
            <w:r>
              <w:t>RB-FX-006</w:t>
            </w:r>
          </w:p>
        </w:tc>
        <w:tc>
          <w:tcPr>
            <w:tcW w:type="dxa" w:w="4968"/>
          </w:tcPr>
          <w:p>
            <w:r>
              <w:t>Chaque modification du taux conserve l’ancienne valeur, la nouvelle valeur, la date/heure et le motif.</w:t>
            </w:r>
          </w:p>
        </w:tc>
      </w:tr>
      <w:tr>
        <w:tc>
          <w:tcPr>
            <w:tcW w:type="dxa" w:w="4968"/>
          </w:tcPr>
          <w:p>
            <w:r>
              <w:t>RB-FX-007</w:t>
            </w:r>
          </w:p>
        </w:tc>
        <w:tc>
          <w:tcPr>
            <w:tcW w:type="dxa" w:w="4968"/>
          </w:tcPr>
          <w:p>
            <w:r>
              <w:t>Une opération historique ne doit pas être recalculée silencieusement avec un nouveau taux.</w:t>
            </w:r>
          </w:p>
        </w:tc>
      </w:tr>
      <w:tr>
        <w:tc>
          <w:tcPr>
            <w:tcW w:type="dxa" w:w="4968"/>
          </w:tcPr>
          <w:p>
            <w:r>
              <w:t>RB-FX-008</w:t>
            </w:r>
          </w:p>
        </w:tc>
        <w:tc>
          <w:tcPr>
            <w:tcW w:type="dxa" w:w="4968"/>
          </w:tcPr>
          <w:p>
            <w:r>
              <w:t>Toute conversion doit permettre d’identifier le taux et le sens de conversion utilisés.</w:t>
            </w:r>
          </w:p>
        </w:tc>
      </w:tr>
    </w:tbl>
    <w:p>
      <w:pPr>
        <w:pStyle w:val="Heading1"/>
      </w:pPr>
      <w:r>
        <w:t>5. RB-RE — Revenus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RB-RE-001</w:t>
            </w:r>
          </w:p>
        </w:tc>
        <w:tc>
          <w:tcPr>
            <w:tcW w:type="dxa" w:w="4968"/>
          </w:tcPr>
          <w:p>
            <w:r>
              <w:t>Un revenu augmente le solde du compte de destination.</w:t>
            </w:r>
          </w:p>
        </w:tc>
      </w:tr>
      <w:tr>
        <w:tc>
          <w:tcPr>
            <w:tcW w:type="dxa" w:w="4968"/>
          </w:tcPr>
          <w:p>
            <w:r>
              <w:t>RB-RE-002</w:t>
            </w:r>
          </w:p>
        </w:tc>
        <w:tc>
          <w:tcPr>
            <w:tcW w:type="dxa" w:w="4968"/>
          </w:tcPr>
          <w:p>
            <w:r>
              <w:t>Un revenu possède au minimum un montant, une devise, une date, un compte et une catégorie/nature.</w:t>
            </w:r>
          </w:p>
        </w:tc>
      </w:tr>
      <w:tr>
        <w:tc>
          <w:tcPr>
            <w:tcW w:type="dxa" w:w="4968"/>
          </w:tcPr>
          <w:p>
            <w:r>
              <w:t>RB-RE-003</w:t>
            </w:r>
          </w:p>
        </w:tc>
        <w:tc>
          <w:tcPr>
            <w:tcW w:type="dxa" w:w="4968"/>
          </w:tcPr>
          <w:p>
            <w:r>
              <w:t>L’argent offert par un tiers peut être enregistré comme revenu exceptionnel.</w:t>
            </w:r>
          </w:p>
        </w:tc>
      </w:tr>
      <w:tr>
        <w:tc>
          <w:tcPr>
            <w:tcW w:type="dxa" w:w="4968"/>
          </w:tcPr>
          <w:p>
            <w:r>
              <w:t>RB-RE-004</w:t>
            </w:r>
          </w:p>
        </w:tc>
        <w:tc>
          <w:tcPr>
            <w:tcW w:type="dxa" w:w="4968"/>
          </w:tcPr>
          <w:p>
            <w:r>
              <w:t>Un remboursement reçu doit rester identifiable comme remboursement et ne pas être confondu avec un revenu professionnel.</w:t>
            </w:r>
          </w:p>
        </w:tc>
      </w:tr>
      <w:tr>
        <w:tc>
          <w:tcPr>
            <w:tcW w:type="dxa" w:w="4968"/>
          </w:tcPr>
          <w:p>
            <w:r>
              <w:t>RB-RE-005</w:t>
            </w:r>
          </w:p>
        </w:tc>
        <w:tc>
          <w:tcPr>
            <w:tcW w:type="dxa" w:w="4968"/>
          </w:tcPr>
          <w:p>
            <w:r>
              <w:t>Toute modification ou suppression d’un revenu met à jour les soldes et indicateurs concernés.</w:t>
            </w:r>
          </w:p>
        </w:tc>
      </w:tr>
    </w:tbl>
    <w:p>
      <w:pPr>
        <w:pStyle w:val="Heading1"/>
      </w:pPr>
      <w:r>
        <w:t>6. RB-DE — Dépenses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RB-DE-001</w:t>
            </w:r>
          </w:p>
        </w:tc>
        <w:tc>
          <w:tcPr>
            <w:tcW w:type="dxa" w:w="4968"/>
          </w:tcPr>
          <w:p>
            <w:r>
              <w:t>Toute dépense validée doit laisser une trace.</w:t>
            </w:r>
          </w:p>
        </w:tc>
      </w:tr>
      <w:tr>
        <w:tc>
          <w:tcPr>
            <w:tcW w:type="dxa" w:w="4968"/>
          </w:tcPr>
          <w:p>
            <w:r>
              <w:t>RB-DE-002</w:t>
            </w:r>
          </w:p>
        </w:tc>
        <w:tc>
          <w:tcPr>
            <w:tcW w:type="dxa" w:w="4968"/>
          </w:tcPr>
          <w:p>
            <w:r>
              <w:t>Une dépense diminue le solde du compte concerné.</w:t>
            </w:r>
          </w:p>
        </w:tc>
      </w:tr>
      <w:tr>
        <w:tc>
          <w:tcPr>
            <w:tcW w:type="dxa" w:w="4968"/>
          </w:tcPr>
          <w:p>
            <w:r>
              <w:t>RB-DE-003</w:t>
            </w:r>
          </w:p>
        </w:tc>
        <w:tc>
          <w:tcPr>
            <w:tcW w:type="dxa" w:w="4968"/>
          </w:tcPr>
          <w:p>
            <w:r>
              <w:t>Une dépense est associée à une catégorie et peut être qualifiée : Nécessaire, Utile, Évitable ou Impulsive.</w:t>
            </w:r>
          </w:p>
        </w:tc>
      </w:tr>
      <w:tr>
        <w:tc>
          <w:tcPr>
            <w:tcW w:type="dxa" w:w="4968"/>
          </w:tcPr>
          <w:p>
            <w:r>
              <w:t>RB-DE-004</w:t>
            </w:r>
          </w:p>
        </w:tc>
        <w:tc>
          <w:tcPr>
            <w:tcW w:type="dxa" w:w="4968"/>
          </w:tcPr>
          <w:p>
            <w:r>
              <w:t>La qualification peut être modifiée sans modifier le montant de la dépense.</w:t>
            </w:r>
          </w:p>
        </w:tc>
      </w:tr>
      <w:tr>
        <w:tc>
          <w:tcPr>
            <w:tcW w:type="dxa" w:w="4968"/>
          </w:tcPr>
          <w:p>
            <w:r>
              <w:t>RB-DE-005</w:t>
            </w:r>
          </w:p>
        </w:tc>
        <w:tc>
          <w:tcPr>
            <w:tcW w:type="dxa" w:w="4968"/>
          </w:tcPr>
          <w:p>
            <w:r>
              <w:t>Toute modification ou suppression d’une dépense met à jour les soldes et indicateurs.</w:t>
            </w:r>
          </w:p>
        </w:tc>
      </w:tr>
      <w:tr>
        <w:tc>
          <w:tcPr>
            <w:tcW w:type="dxa" w:w="4968"/>
          </w:tcPr>
          <w:p>
            <w:r>
              <w:t>RB-DE-006</w:t>
            </w:r>
          </w:p>
        </w:tc>
        <w:tc>
          <w:tcPr>
            <w:tcW w:type="dxa" w:w="4968"/>
          </w:tcPr>
          <w:p>
            <w:r>
              <w:t>Une dépense financée par plusieurs sources reste une seule dépense.</w:t>
            </w:r>
          </w:p>
        </w:tc>
      </w:tr>
    </w:tbl>
    <w:p>
      <w:pPr>
        <w:pStyle w:val="Heading1"/>
      </w:pPr>
      <w:r>
        <w:t>7. RB-SF — Sources de financement</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RB-SF-001</w:t>
            </w:r>
          </w:p>
        </w:tc>
        <w:tc>
          <w:tcPr>
            <w:tcW w:type="dxa" w:w="4968"/>
          </w:tcPr>
          <w:p>
            <w:r>
              <w:t>Une dépense peut avoir une ou plusieurs sources de financement.</w:t>
            </w:r>
          </w:p>
        </w:tc>
      </w:tr>
      <w:tr>
        <w:tc>
          <w:tcPr>
            <w:tcW w:type="dxa" w:w="4968"/>
          </w:tcPr>
          <w:p>
            <w:r>
              <w:t>RB-SF-002</w:t>
            </w:r>
          </w:p>
        </w:tc>
        <w:tc>
          <w:tcPr>
            <w:tcW w:type="dxa" w:w="4968"/>
          </w:tcPr>
          <w:p>
            <w:r>
              <w:t>La somme des financements doit correspondre au montant de la dépense avant validation.</w:t>
            </w:r>
          </w:p>
        </w:tc>
      </w:tr>
      <w:tr>
        <w:tc>
          <w:tcPr>
            <w:tcW w:type="dxa" w:w="4968"/>
          </w:tcPr>
          <w:p>
            <w:r>
              <w:t>RB-SF-003</w:t>
            </w:r>
          </w:p>
        </w:tc>
        <w:tc>
          <w:tcPr>
            <w:tcW w:type="dxa" w:w="4968"/>
          </w:tcPr>
          <w:p>
            <w:r>
              <w:t>Une source peut être un solde disponible, un don/revenu exceptionnel, un remboursement, un transfert depuis un autre compte ou une autre source explicitement autorisée.</w:t>
            </w:r>
          </w:p>
        </w:tc>
      </w:tr>
      <w:tr>
        <w:tc>
          <w:tcPr>
            <w:tcW w:type="dxa" w:w="4968"/>
          </w:tcPr>
          <w:p>
            <w:r>
              <w:t>RB-SF-004</w:t>
            </w:r>
          </w:p>
        </w:tc>
        <w:tc>
          <w:tcPr>
            <w:tcW w:type="dxa" w:w="4968"/>
          </w:tcPr>
          <w:p>
            <w:r>
              <w:t>Une entrée d’argent externe doit être enregistrée selon sa véritable nature.</w:t>
            </w:r>
          </w:p>
        </w:tc>
      </w:tr>
      <w:tr>
        <w:tc>
          <w:tcPr>
            <w:tcW w:type="dxa" w:w="4968"/>
          </w:tcPr>
          <w:p>
            <w:r>
              <w:t>RB-SF-005</w:t>
            </w:r>
          </w:p>
        </w:tc>
        <w:tc>
          <w:tcPr>
            <w:tcW w:type="dxa" w:w="4968"/>
          </w:tcPr>
          <w:p>
            <w:r>
              <w:t>Si une dépense dépasse le solde disponible et qu’aucune source supplémentaire n’est fournie, la validation est bloquée.</w:t>
            </w:r>
          </w:p>
        </w:tc>
      </w:tr>
      <w:tr>
        <w:tc>
          <w:tcPr>
            <w:tcW w:type="dxa" w:w="4968"/>
          </w:tcPr>
          <w:p>
            <w:r>
              <w:t>RB-SF-006</w:t>
            </w:r>
          </w:p>
        </w:tc>
        <w:tc>
          <w:tcPr>
            <w:tcW w:type="dxa" w:w="4968"/>
          </w:tcPr>
          <w:p>
            <w:r>
              <w:t>Un prêt reçu est une dette et non un revenu.</w:t>
            </w:r>
          </w:p>
        </w:tc>
      </w:tr>
      <w:tr>
        <w:tc>
          <w:tcPr>
            <w:tcW w:type="dxa" w:w="4968"/>
          </w:tcPr>
          <w:p>
            <w:r>
              <w:t>RB-SF-007</w:t>
            </w:r>
          </w:p>
        </w:tc>
        <w:tc>
          <w:tcPr>
            <w:tcW w:type="dxa" w:w="4968"/>
          </w:tcPr>
          <w:p>
            <w:r>
              <w:t>Un transfert entre comptes appartenant à l’utilisateur n’est pas un revenu.</w:t>
            </w:r>
          </w:p>
        </w:tc>
      </w:tr>
    </w:tbl>
    <w:p>
      <w:pPr>
        <w:pStyle w:val="Heading1"/>
      </w:pPr>
      <w:r>
        <w:t>8. RB-TR — Transferts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RB-TR-001</w:t>
            </w:r>
          </w:p>
        </w:tc>
        <w:tc>
          <w:tcPr>
            <w:tcW w:type="dxa" w:w="4968"/>
          </w:tcPr>
          <w:p>
            <w:r>
              <w:t>Un transfert déplace de l’argent d’un compte source vers un compte destination.</w:t>
            </w:r>
          </w:p>
        </w:tc>
      </w:tr>
      <w:tr>
        <w:tc>
          <w:tcPr>
            <w:tcW w:type="dxa" w:w="4968"/>
          </w:tcPr>
          <w:p>
            <w:r>
              <w:t>RB-TR-002</w:t>
            </w:r>
          </w:p>
        </w:tc>
        <w:tc>
          <w:tcPr>
            <w:tcW w:type="dxa" w:w="4968"/>
          </w:tcPr>
          <w:p>
            <w:r>
              <w:t>Un transfert n’est pas une dépense de consommation.</w:t>
            </w:r>
          </w:p>
        </w:tc>
      </w:tr>
      <w:tr>
        <w:tc>
          <w:tcPr>
            <w:tcW w:type="dxa" w:w="4968"/>
          </w:tcPr>
          <w:p>
            <w:r>
              <w:t>RB-TR-003</w:t>
            </w:r>
          </w:p>
        </w:tc>
        <w:tc>
          <w:tcPr>
            <w:tcW w:type="dxa" w:w="4968"/>
          </w:tcPr>
          <w:p>
            <w:r>
              <w:t>Un transfert possède source, destination, montant, devise/taux si nécessaire et date.</w:t>
            </w:r>
          </w:p>
        </w:tc>
      </w:tr>
      <w:tr>
        <w:tc>
          <w:tcPr>
            <w:tcW w:type="dxa" w:w="4968"/>
          </w:tcPr>
          <w:p>
            <w:r>
              <w:t>RB-TR-004</w:t>
            </w:r>
          </w:p>
        </w:tc>
        <w:tc>
          <w:tcPr>
            <w:tcW w:type="dxa" w:w="4968"/>
          </w:tcPr>
          <w:p>
            <w:r>
              <w:t>Un transfert est atomique : les deux côtés sont validés ensemble ou aucun ne l’est.</w:t>
            </w:r>
          </w:p>
        </w:tc>
      </w:tr>
      <w:tr>
        <w:tc>
          <w:tcPr>
            <w:tcW w:type="dxa" w:w="4968"/>
          </w:tcPr>
          <w:p>
            <w:r>
              <w:t>RB-TR-005</w:t>
            </w:r>
          </w:p>
        </w:tc>
        <w:tc>
          <w:tcPr>
            <w:tcW w:type="dxa" w:w="4968"/>
          </w:tcPr>
          <w:p>
            <w:r>
              <w:t>Un transfert entre devises différentes doit appliquer un taux explicitement identifié.</w:t>
            </w:r>
          </w:p>
        </w:tc>
      </w:tr>
      <w:tr>
        <w:tc>
          <w:tcPr>
            <w:tcW w:type="dxa" w:w="4968"/>
          </w:tcPr>
          <w:p>
            <w:r>
              <w:t>RB-TR-006</w:t>
            </w:r>
          </w:p>
        </w:tc>
        <w:tc>
          <w:tcPr>
            <w:tcW w:type="dxa" w:w="4968"/>
          </w:tcPr>
          <w:p>
            <w:r>
              <w:t>Un transfert alimentant une épargne peut être lié à l’opération d’épargne.</w:t>
            </w:r>
          </w:p>
        </w:tc>
      </w:tr>
    </w:tbl>
    <w:p>
      <w:pPr>
        <w:pStyle w:val="Heading1"/>
      </w:pPr>
      <w:r>
        <w:t>9. RB-EP — Épargne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RB-EP-001</w:t>
            </w:r>
          </w:p>
        </w:tc>
        <w:tc>
          <w:tcPr>
            <w:tcW w:type="dxa" w:w="4968"/>
          </w:tcPr>
          <w:p>
            <w:r>
              <w:t>Une opération d’épargne constitue une sortie de l’argent disponible et une affectation de fonds à l’épargne.</w:t>
            </w:r>
          </w:p>
        </w:tc>
      </w:tr>
      <w:tr>
        <w:tc>
          <w:tcPr>
            <w:tcW w:type="dxa" w:w="4968"/>
          </w:tcPr>
          <w:p>
            <w:r>
              <w:t>RB-EP-002</w:t>
            </w:r>
          </w:p>
        </w:tc>
        <w:tc>
          <w:tcPr>
            <w:tcW w:type="dxa" w:w="4968"/>
          </w:tcPr>
          <w:p>
            <w:r>
              <w:t>L’épargne apparaît séparément des dépenses de consommation.</w:t>
            </w:r>
          </w:p>
        </w:tc>
      </w:tr>
      <w:tr>
        <w:tc>
          <w:tcPr>
            <w:tcW w:type="dxa" w:w="4968"/>
          </w:tcPr>
          <w:p>
            <w:r>
              <w:t>RB-EP-003</w:t>
            </w:r>
          </w:p>
        </w:tc>
        <w:tc>
          <w:tcPr>
            <w:tcW w:type="dxa" w:w="4968"/>
          </w:tcPr>
          <w:p>
            <w:r>
              <w:t>Une épargne réelle peut être matérialisée techniquement par un transfert vers un compte d’épargne.</w:t>
            </w:r>
          </w:p>
        </w:tc>
      </w:tr>
      <w:tr>
        <w:tc>
          <w:tcPr>
            <w:tcW w:type="dxa" w:w="4968"/>
          </w:tcPr>
          <w:p>
            <w:r>
              <w:t>RB-EP-004</w:t>
            </w:r>
          </w:p>
        </w:tc>
        <w:tc>
          <w:tcPr>
            <w:tcW w:type="dxa" w:w="4968"/>
          </w:tcPr>
          <w:p>
            <w:r>
              <w:t>Un compte d’épargne peut être réel ou virtuel selon le choix de l’utilisateur.</w:t>
            </w:r>
          </w:p>
        </w:tc>
      </w:tr>
      <w:tr>
        <w:tc>
          <w:tcPr>
            <w:tcW w:type="dxa" w:w="4968"/>
          </w:tcPr>
          <w:p>
            <w:r>
              <w:t>RB-EP-005</w:t>
            </w:r>
          </w:p>
        </w:tc>
        <w:tc>
          <w:tcPr>
            <w:tcW w:type="dxa" w:w="4968"/>
          </w:tcPr>
          <w:p>
            <w:r>
              <w:t>Un objectif d’épargne possède au minimum un nom et un montant cible.</w:t>
            </w:r>
          </w:p>
        </w:tc>
      </w:tr>
      <w:tr>
        <w:tc>
          <w:tcPr>
            <w:tcW w:type="dxa" w:w="4968"/>
          </w:tcPr>
          <w:p>
            <w:r>
              <w:t>RB-EP-006</w:t>
            </w:r>
          </w:p>
        </w:tc>
        <w:tc>
          <w:tcPr>
            <w:tcW w:type="dxa" w:w="4968"/>
          </w:tcPr>
          <w:p>
            <w:r>
              <w:t>Une contribution augmente la progression et le système calcule le montant restant.</w:t>
            </w:r>
          </w:p>
        </w:tc>
      </w:tr>
      <w:tr>
        <w:tc>
          <w:tcPr>
            <w:tcW w:type="dxa" w:w="4968"/>
          </w:tcPr>
          <w:p>
            <w:r>
              <w:t>RB-EP-007</w:t>
            </w:r>
          </w:p>
        </w:tc>
        <w:tc>
          <w:tcPr>
            <w:tcW w:type="dxa" w:w="4968"/>
          </w:tcPr>
          <w:p>
            <w:r>
              <w:t>L’épargne n’est pas considérée comme argent disponible pour les dépenses courantes.</w:t>
            </w:r>
          </w:p>
        </w:tc>
      </w:tr>
      <w:tr>
        <w:tc>
          <w:tcPr>
            <w:tcW w:type="dxa" w:w="4968"/>
          </w:tcPr>
          <w:p>
            <w:r>
              <w:t>RB-EP-008</w:t>
            </w:r>
          </w:p>
        </w:tc>
        <w:tc>
          <w:tcPr>
            <w:tcW w:type="dxa" w:w="4968"/>
          </w:tcPr>
          <w:p>
            <w:r>
              <w:t>L’épargne reste incluse dans le patrimoine financier.</w:t>
            </w:r>
          </w:p>
        </w:tc>
      </w:tr>
    </w:tbl>
    <w:p>
      <w:pPr>
        <w:pStyle w:val="Heading1"/>
      </w:pPr>
      <w:r>
        <w:t>10. RB-BU — Budgets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RB-BU-001</w:t>
            </w:r>
          </w:p>
        </w:tc>
        <w:tc>
          <w:tcPr>
            <w:tcW w:type="dxa" w:w="4968"/>
          </w:tcPr>
          <w:p>
            <w:r>
              <w:t>Un budget possède une période et une devise de référence.</w:t>
            </w:r>
          </w:p>
        </w:tc>
      </w:tr>
      <w:tr>
        <w:tc>
          <w:tcPr>
            <w:tcW w:type="dxa" w:w="4968"/>
          </w:tcPr>
          <w:p>
            <w:r>
              <w:t>RB-BU-002</w:t>
            </w:r>
          </w:p>
        </w:tc>
        <w:tc>
          <w:tcPr>
            <w:tcW w:type="dxa" w:w="4968"/>
          </w:tcPr>
          <w:p>
            <w:r>
              <w:t>Un budget peut être global ou lié à une catégorie.</w:t>
            </w:r>
          </w:p>
        </w:tc>
      </w:tr>
      <w:tr>
        <w:tc>
          <w:tcPr>
            <w:tcW w:type="dxa" w:w="4968"/>
          </w:tcPr>
          <w:p>
            <w:r>
              <w:t>RB-BU-003</w:t>
            </w:r>
          </w:p>
        </w:tc>
        <w:tc>
          <w:tcPr>
            <w:tcW w:type="dxa" w:w="4968"/>
          </w:tcPr>
          <w:p>
            <w:r>
              <w:t>Le système compare dépenses réelles et budget prévu.</w:t>
            </w:r>
          </w:p>
        </w:tc>
      </w:tr>
      <w:tr>
        <w:tc>
          <w:tcPr>
            <w:tcW w:type="dxa" w:w="4968"/>
          </w:tcPr>
          <w:p>
            <w:r>
              <w:t>RB-BU-004</w:t>
            </w:r>
          </w:p>
        </w:tc>
        <w:tc>
          <w:tcPr>
            <w:tcW w:type="dxa" w:w="4968"/>
          </w:tcPr>
          <w:p>
            <w:r>
              <w:t>Le taux de consommation est calculé à partir des dépenses pertinentes.</w:t>
            </w:r>
          </w:p>
        </w:tc>
      </w:tr>
      <w:tr>
        <w:tc>
          <w:tcPr>
            <w:tcW w:type="dxa" w:w="4968"/>
          </w:tcPr>
          <w:p>
            <w:r>
              <w:t>RB-BU-005</w:t>
            </w:r>
          </w:p>
        </w:tc>
        <w:tc>
          <w:tcPr>
            <w:tcW w:type="dxa" w:w="4968"/>
          </w:tcPr>
          <w:p>
            <w:r>
              <w:t>Un dépassement est détecté lorsque les dépenses pertinentes dépassent le budget.</w:t>
            </w:r>
          </w:p>
        </w:tc>
      </w:tr>
      <w:tr>
        <w:tc>
          <w:tcPr>
            <w:tcW w:type="dxa" w:w="4968"/>
          </w:tcPr>
          <w:p>
            <w:r>
              <w:t>RB-BU-006</w:t>
            </w:r>
          </w:p>
        </w:tc>
        <w:tc>
          <w:tcPr>
            <w:tcW w:type="dxa" w:w="4968"/>
          </w:tcPr>
          <w:p>
            <w:r>
              <w:t>Les transferts ne consomment pas un budget de dépenses.</w:t>
            </w:r>
          </w:p>
        </w:tc>
      </w:tr>
      <w:tr>
        <w:tc>
          <w:tcPr>
            <w:tcW w:type="dxa" w:w="4968"/>
          </w:tcPr>
          <w:p>
            <w:r>
              <w:t>RB-BU-007</w:t>
            </w:r>
          </w:p>
        </w:tc>
        <w:tc>
          <w:tcPr>
            <w:tcW w:type="dxa" w:w="4968"/>
          </w:tcPr>
          <w:p>
            <w:r>
              <w:t>L’épargne peut être planifiée comme poste budgétaire distinct.</w:t>
            </w:r>
          </w:p>
        </w:tc>
      </w:tr>
    </w:tbl>
    <w:p>
      <w:pPr>
        <w:pStyle w:val="Heading1"/>
      </w:pPr>
      <w:r>
        <w:t>11. RB-DC — Dettes et créances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RB-DC-001</w:t>
            </w:r>
          </w:p>
        </w:tc>
        <w:tc>
          <w:tcPr>
            <w:tcW w:type="dxa" w:w="4968"/>
          </w:tcPr>
          <w:p>
            <w:r>
              <w:t>Une dette représente une somme que l’utilisateur doit à un tiers.</w:t>
            </w:r>
          </w:p>
        </w:tc>
      </w:tr>
      <w:tr>
        <w:tc>
          <w:tcPr>
            <w:tcW w:type="dxa" w:w="4968"/>
          </w:tcPr>
          <w:p>
            <w:r>
              <w:t>RB-DC-002</w:t>
            </w:r>
          </w:p>
        </w:tc>
        <w:tc>
          <w:tcPr>
            <w:tcW w:type="dxa" w:w="4968"/>
          </w:tcPr>
          <w:p>
            <w:r>
              <w:t>Une créance représente une somme qu’un tiers doit à l’utilisateur.</w:t>
            </w:r>
          </w:p>
        </w:tc>
      </w:tr>
      <w:tr>
        <w:tc>
          <w:tcPr>
            <w:tcW w:type="dxa" w:w="4968"/>
          </w:tcPr>
          <w:p>
            <w:r>
              <w:t>RB-DC-003</w:t>
            </w:r>
          </w:p>
        </w:tc>
        <w:tc>
          <w:tcPr>
            <w:tcW w:type="dxa" w:w="4968"/>
          </w:tcPr>
          <w:p>
            <w:r>
              <w:t>Une dette/créance conserve montant initial et montant restant.</w:t>
            </w:r>
          </w:p>
        </w:tc>
      </w:tr>
      <w:tr>
        <w:tc>
          <w:tcPr>
            <w:tcW w:type="dxa" w:w="4968"/>
          </w:tcPr>
          <w:p>
            <w:r>
              <w:t>RB-DC-004</w:t>
            </w:r>
          </w:p>
        </w:tc>
        <w:tc>
          <w:tcPr>
            <w:tcW w:type="dxa" w:w="4968"/>
          </w:tcPr>
          <w:p>
            <w:r>
              <w:t>Un remboursement peut être partiel ou total.</w:t>
            </w:r>
          </w:p>
        </w:tc>
      </w:tr>
      <w:tr>
        <w:tc>
          <w:tcPr>
            <w:tcW w:type="dxa" w:w="4968"/>
          </w:tcPr>
          <w:p>
            <w:r>
              <w:t>RB-DC-005</w:t>
            </w:r>
          </w:p>
        </w:tc>
        <w:tc>
          <w:tcPr>
            <w:tcW w:type="dxa" w:w="4968"/>
          </w:tcPr>
          <w:p>
            <w:r>
              <w:t>Un remboursement reçu sur une créance crée automatiquement une entrée dans le compte choisi par l’utilisateur.</w:t>
            </w:r>
          </w:p>
        </w:tc>
      </w:tr>
      <w:tr>
        <w:tc>
          <w:tcPr>
            <w:tcW w:type="dxa" w:w="4968"/>
          </w:tcPr>
          <w:p>
            <w:r>
              <w:t>RB-DC-006</w:t>
            </w:r>
          </w:p>
        </w:tc>
        <w:tc>
          <w:tcPr>
            <w:tcW w:type="dxa" w:w="4968"/>
          </w:tcPr>
          <w:p>
            <w:r>
              <w:t>Un remboursement d’une dette constitue une sortie associée à la dette.</w:t>
            </w:r>
          </w:p>
        </w:tc>
      </w:tr>
      <w:tr>
        <w:tc>
          <w:tcPr>
            <w:tcW w:type="dxa" w:w="4968"/>
          </w:tcPr>
          <w:p>
            <w:r>
              <w:t>RB-DC-007</w:t>
            </w:r>
          </w:p>
        </w:tc>
        <w:tc>
          <w:tcPr>
            <w:tcW w:type="dxa" w:w="4968"/>
          </w:tcPr>
          <w:p>
            <w:r>
              <w:t>Un montant restant nul entraîne le statut SOLDÉE.</w:t>
            </w:r>
          </w:p>
        </w:tc>
      </w:tr>
      <w:tr>
        <w:tc>
          <w:tcPr>
            <w:tcW w:type="dxa" w:w="4968"/>
          </w:tcPr>
          <w:p>
            <w:r>
              <w:t>RB-DC-008</w:t>
            </w:r>
          </w:p>
        </w:tc>
        <w:tc>
          <w:tcPr>
            <w:tcW w:type="dxa" w:w="4968"/>
          </w:tcPr>
          <w:p>
            <w:r>
              <w:t>Un prêt reçu augmente une dette envers le tiers et n’est pas un revenu.</w:t>
            </w:r>
          </w:p>
        </w:tc>
      </w:tr>
    </w:tbl>
    <w:p>
      <w:pPr>
        <w:pStyle w:val="Heading1"/>
      </w:pPr>
      <w:r>
        <w:t>12. RB-CA — Catégories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RB-CA-001</w:t>
            </w:r>
          </w:p>
        </w:tc>
        <w:tc>
          <w:tcPr>
            <w:tcW w:type="dxa" w:w="4968"/>
          </w:tcPr>
          <w:p>
            <w:r>
              <w:t>Les revenus et dépenses peuvent être classés.</w:t>
            </w:r>
          </w:p>
        </w:tc>
      </w:tr>
      <w:tr>
        <w:tc>
          <w:tcPr>
            <w:tcW w:type="dxa" w:w="4968"/>
          </w:tcPr>
          <w:p>
            <w:r>
              <w:t>RB-CA-002</w:t>
            </w:r>
          </w:p>
        </w:tc>
        <w:tc>
          <w:tcPr>
            <w:tcW w:type="dxa" w:w="4968"/>
          </w:tcPr>
          <w:p>
            <w:r>
              <w:t>L’utilisateur peut créer des catégories personnalisées.</w:t>
            </w:r>
          </w:p>
        </w:tc>
      </w:tr>
      <w:tr>
        <w:tc>
          <w:tcPr>
            <w:tcW w:type="dxa" w:w="4968"/>
          </w:tcPr>
          <w:p>
            <w:r>
              <w:t>RB-CA-003</w:t>
            </w:r>
          </w:p>
        </w:tc>
        <w:tc>
          <w:tcPr>
            <w:tcW w:type="dxa" w:w="4968"/>
          </w:tcPr>
          <w:p>
            <w:r>
              <w:t>Une catégorie utilisée historiquement ne doit pas être supprimée si cela détruit l’historique.</w:t>
            </w:r>
          </w:p>
        </w:tc>
      </w:tr>
      <w:tr>
        <w:tc>
          <w:tcPr>
            <w:tcW w:type="dxa" w:w="4968"/>
          </w:tcPr>
          <w:p>
            <w:r>
              <w:t>RB-CA-004</w:t>
            </w:r>
          </w:p>
        </w:tc>
        <w:tc>
          <w:tcPr>
            <w:tcW w:type="dxa" w:w="4968"/>
          </w:tcPr>
          <w:p>
            <w:r>
              <w:t>Une catégorie peut être désactivée tout en restant visible dans l’historique.</w:t>
            </w:r>
          </w:p>
        </w:tc>
      </w:tr>
    </w:tbl>
    <w:p>
      <w:pPr>
        <w:pStyle w:val="Heading1"/>
      </w:pPr>
      <w:r>
        <w:t>13. RB-QU — Qualification des dépenses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RB-QU-001</w:t>
            </w:r>
          </w:p>
        </w:tc>
        <w:tc>
          <w:tcPr>
            <w:tcW w:type="dxa" w:w="4968"/>
          </w:tcPr>
          <w:p>
            <w:r>
              <w:t>Une dépense peut être Nécessaire, Utile, Évitable ou Impulsive.</w:t>
            </w:r>
          </w:p>
        </w:tc>
      </w:tr>
      <w:tr>
        <w:tc>
          <w:tcPr>
            <w:tcW w:type="dxa" w:w="4968"/>
          </w:tcPr>
          <w:p>
            <w:r>
              <w:t>RB-QU-002</w:t>
            </w:r>
          </w:p>
        </w:tc>
        <w:tc>
          <w:tcPr>
            <w:tcW w:type="dxa" w:w="4968"/>
          </w:tcPr>
          <w:p>
            <w:r>
              <w:t>La qualification ne modifie pas le montant financier.</w:t>
            </w:r>
          </w:p>
        </w:tc>
      </w:tr>
      <w:tr>
        <w:tc>
          <w:tcPr>
            <w:tcW w:type="dxa" w:w="4968"/>
          </w:tcPr>
          <w:p>
            <w:r>
              <w:t>RB-QU-003</w:t>
            </w:r>
          </w:p>
        </w:tc>
        <w:tc>
          <w:tcPr>
            <w:tcW w:type="dxa" w:w="4968"/>
          </w:tcPr>
          <w:p>
            <w:r>
              <w:t>Les analyses peuvent agréger les dépenses par qualification.</w:t>
            </w:r>
          </w:p>
        </w:tc>
      </w:tr>
      <w:tr>
        <w:tc>
          <w:tcPr>
            <w:tcW w:type="dxa" w:w="4968"/>
          </w:tcPr>
          <w:p>
            <w:r>
              <w:t>RB-QU-004</w:t>
            </w:r>
          </w:p>
        </w:tc>
        <w:tc>
          <w:tcPr>
            <w:tcW w:type="dxa" w:w="4968"/>
          </w:tcPr>
          <w:p>
            <w:r>
              <w:t>L’utilisateur peut réévaluer une qualification.</w:t>
            </w:r>
          </w:p>
        </w:tc>
      </w:tr>
    </w:tbl>
    <w:p>
      <w:pPr>
        <w:pStyle w:val="Heading1"/>
      </w:pPr>
      <w:r>
        <w:t>14. RB-AN — Analyse financière</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RB-AN-001</w:t>
            </w:r>
          </w:p>
        </w:tc>
        <w:tc>
          <w:tcPr>
            <w:tcW w:type="dxa" w:w="4968"/>
          </w:tcPr>
          <w:p>
            <w:r>
              <w:t>Le système calcule les dépenses par catégorie.</w:t>
            </w:r>
          </w:p>
        </w:tc>
      </w:tr>
      <w:tr>
        <w:tc>
          <w:tcPr>
            <w:tcW w:type="dxa" w:w="4968"/>
          </w:tcPr>
          <w:p>
            <w:r>
              <w:t>RB-AN-002</w:t>
            </w:r>
          </w:p>
        </w:tc>
        <w:tc>
          <w:tcPr>
            <w:tcW w:type="dxa" w:w="4968"/>
          </w:tcPr>
          <w:p>
            <w:r>
              <w:t>Le système calcule les dépenses par qualification.</w:t>
            </w:r>
          </w:p>
        </w:tc>
      </w:tr>
      <w:tr>
        <w:tc>
          <w:tcPr>
            <w:tcW w:type="dxa" w:w="4968"/>
          </w:tcPr>
          <w:p>
            <w:r>
              <w:t>RB-AN-003</w:t>
            </w:r>
          </w:p>
        </w:tc>
        <w:tc>
          <w:tcPr>
            <w:tcW w:type="dxa" w:w="4968"/>
          </w:tcPr>
          <w:p>
            <w:r>
              <w:t>Le système peut identifier les catégories les plus coûteuses.</w:t>
            </w:r>
          </w:p>
        </w:tc>
      </w:tr>
      <w:tr>
        <w:tc>
          <w:tcPr>
            <w:tcW w:type="dxa" w:w="4968"/>
          </w:tcPr>
          <w:p>
            <w:r>
              <w:t>RB-AN-004</w:t>
            </w:r>
          </w:p>
        </w:tc>
        <w:tc>
          <w:tcPr>
            <w:tcW w:type="dxa" w:w="4968"/>
          </w:tcPr>
          <w:p>
            <w:r>
              <w:t>Le système peut identifier le cumul des petites dépenses lorsque les données le permettent.</w:t>
            </w:r>
          </w:p>
        </w:tc>
      </w:tr>
      <w:tr>
        <w:tc>
          <w:tcPr>
            <w:tcW w:type="dxa" w:w="4968"/>
          </w:tcPr>
          <w:p>
            <w:r>
              <w:t>RB-AN-005</w:t>
            </w:r>
          </w:p>
        </w:tc>
        <w:tc>
          <w:tcPr>
            <w:tcW w:type="dxa" w:w="4968"/>
          </w:tcPr>
          <w:p>
            <w:r>
              <w:t>Le système peut comparer deux périodes.</w:t>
            </w:r>
          </w:p>
        </w:tc>
      </w:tr>
      <w:tr>
        <w:tc>
          <w:tcPr>
            <w:tcW w:type="dxa" w:w="4968"/>
          </w:tcPr>
          <w:p>
            <w:r>
              <w:t>RB-AN-006</w:t>
            </w:r>
          </w:p>
        </w:tc>
        <w:tc>
          <w:tcPr>
            <w:tcW w:type="dxa" w:w="4968"/>
          </w:tcPr>
          <w:p>
            <w:r>
              <w:t>Les indicateurs sont dérivés des données enregistrées et non saisis manuellement.</w:t>
            </w:r>
          </w:p>
        </w:tc>
      </w:tr>
      <w:tr>
        <w:tc>
          <w:tcPr>
            <w:tcW w:type="dxa" w:w="4968"/>
          </w:tcPr>
          <w:p>
            <w:r>
              <w:t>RB-AN-007</w:t>
            </w:r>
          </w:p>
        </w:tc>
        <w:tc>
          <w:tcPr>
            <w:tcW w:type="dxa" w:w="4968"/>
          </w:tcPr>
          <w:p>
            <w:r>
              <w:t>Le système distingue argent disponible, argent réservé en épargne et patrimoine financier.</w:t>
            </w:r>
          </w:p>
        </w:tc>
      </w:tr>
    </w:tbl>
    <w:p>
      <w:pPr>
        <w:pStyle w:val="Heading1"/>
      </w:pPr>
      <w:r>
        <w:t>15. RB-AL — Alertes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RB-AL-001</w:t>
            </w:r>
          </w:p>
        </w:tc>
        <w:tc>
          <w:tcPr>
            <w:tcW w:type="dxa" w:w="4968"/>
          </w:tcPr>
          <w:p>
            <w:r>
              <w:t>Une alerte peut être déclenchée lorsqu’un seuil budgétaire est atteint.</w:t>
            </w:r>
          </w:p>
        </w:tc>
      </w:tr>
      <w:tr>
        <w:tc>
          <w:tcPr>
            <w:tcW w:type="dxa" w:w="4968"/>
          </w:tcPr>
          <w:p>
            <w:r>
              <w:t>RB-AL-002</w:t>
            </w:r>
          </w:p>
        </w:tc>
        <w:tc>
          <w:tcPr>
            <w:tcW w:type="dxa" w:w="4968"/>
          </w:tcPr>
          <w:p>
            <w:r>
              <w:t>Un dépassement de budget doit pouvoir être signalé.</w:t>
            </w:r>
          </w:p>
        </w:tc>
      </w:tr>
      <w:tr>
        <w:tc>
          <w:tcPr>
            <w:tcW w:type="dxa" w:w="4968"/>
          </w:tcPr>
          <w:p>
            <w:r>
              <w:t>RB-AL-003</w:t>
            </w:r>
          </w:p>
        </w:tc>
        <w:tc>
          <w:tcPr>
            <w:tcW w:type="dxa" w:w="4968"/>
          </w:tcPr>
          <w:p>
            <w:r>
              <w:t>Les seuils sont configurables.</w:t>
            </w:r>
          </w:p>
        </w:tc>
      </w:tr>
    </w:tbl>
    <w:p>
      <w:pPr>
        <w:pStyle w:val="Heading1"/>
      </w:pPr>
      <w:r>
        <w:t>16. RB-IN — Intégrité et traçabilité</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Règle métier</w:t>
            </w:r>
          </w:p>
        </w:tc>
      </w:tr>
      <w:tr>
        <w:tc>
          <w:tcPr>
            <w:tcW w:type="dxa" w:w="4968"/>
          </w:tcPr>
          <w:p>
            <w:r>
              <w:t>RB-IN-001</w:t>
            </w:r>
          </w:p>
        </w:tc>
        <w:tc>
          <w:tcPr>
            <w:tcW w:type="dxa" w:w="4968"/>
          </w:tcPr>
          <w:p>
            <w:r>
              <w:t>Une opération financière ne doit jamais laisser un état partiellement appliqué.</w:t>
            </w:r>
          </w:p>
        </w:tc>
      </w:tr>
      <w:tr>
        <w:tc>
          <w:tcPr>
            <w:tcW w:type="dxa" w:w="4968"/>
          </w:tcPr>
          <w:p>
            <w:r>
              <w:t>RB-IN-002</w:t>
            </w:r>
          </w:p>
        </w:tc>
        <w:tc>
          <w:tcPr>
            <w:tcW w:type="dxa" w:w="4968"/>
          </w:tcPr>
          <w:p>
            <w:r>
              <w:t>Une modification de transaction conserve la cohérence des soldes et indicateurs.</w:t>
            </w:r>
          </w:p>
        </w:tc>
      </w:tr>
      <w:tr>
        <w:tc>
          <w:tcPr>
            <w:tcW w:type="dxa" w:w="4968"/>
          </w:tcPr>
          <w:p>
            <w:r>
              <w:t>RB-IN-003</w:t>
            </w:r>
          </w:p>
        </w:tc>
        <w:tc>
          <w:tcPr>
            <w:tcW w:type="dxa" w:w="4968"/>
          </w:tcPr>
          <w:p>
            <w:r>
              <w:t>Une suppression de transaction conserve la cohérence des soldes et indicateurs.</w:t>
            </w:r>
          </w:p>
        </w:tc>
      </w:tr>
      <w:tr>
        <w:tc>
          <w:tcPr>
            <w:tcW w:type="dxa" w:w="4968"/>
          </w:tcPr>
          <w:p>
            <w:r>
              <w:t>RB-IN-004</w:t>
            </w:r>
          </w:p>
        </w:tc>
        <w:tc>
          <w:tcPr>
            <w:tcW w:type="dxa" w:w="4968"/>
          </w:tcPr>
          <w:p>
            <w:r>
              <w:t>Les taux de change et autres paramètres historiques influençant les calculs sont historisés.</w:t>
            </w:r>
          </w:p>
        </w:tc>
      </w:tr>
      <w:tr>
        <w:tc>
          <w:tcPr>
            <w:tcW w:type="dxa" w:w="4968"/>
          </w:tcPr>
          <w:p>
            <w:r>
              <w:t>RB-IN-005</w:t>
            </w:r>
          </w:p>
        </w:tc>
        <w:tc>
          <w:tcPr>
            <w:tcW w:type="dxa" w:w="4968"/>
          </w:tcPr>
          <w:p>
            <w:r>
              <w:t>Les soldes et indicateurs doivent être reproductibles à partir des données financières.</w:t>
            </w:r>
          </w:p>
        </w:tc>
      </w:tr>
      <w:tr>
        <w:tc>
          <w:tcPr>
            <w:tcW w:type="dxa" w:w="4968"/>
          </w:tcPr>
          <w:p>
            <w:r>
              <w:t>RB-IN-006</w:t>
            </w:r>
          </w:p>
        </w:tc>
        <w:tc>
          <w:tcPr>
            <w:tcW w:type="dxa" w:w="4968"/>
          </w:tcPr>
          <w:p>
            <w:r>
              <w:t>Un changement de paramètre actuel ne doit pas modifier silencieusement les événements historiques.</w:t>
            </w:r>
          </w:p>
        </w:tc>
      </w:tr>
    </w:tbl>
    <w:p>
      <w:pPr>
        <w:pStyle w:val="Heading1"/>
      </w:pPr>
      <w:r>
        <w:t>17. Règles de calcul de référence</w:t>
      </w:r>
    </w:p>
    <w:p>
      <w:r>
        <w:rPr>
          <w:b/>
        </w:rPr>
        <w:t xml:space="preserve">Solde : </w:t>
      </w:r>
      <w:r>
        <w:t>Solde initial + entrées − sorties, en tenant compte des transferts et conversions applicables.</w:t>
      </w:r>
    </w:p>
    <w:p>
      <w:r>
        <w:rPr>
          <w:b/>
        </w:rPr>
        <w:t xml:space="preserve">Montant restant dette/créance : </w:t>
      </w:r>
      <w:r>
        <w:t>Montant initial − remboursements validés.</w:t>
      </w:r>
    </w:p>
    <w:p>
      <w:r>
        <w:rPr>
          <w:b/>
        </w:rPr>
        <w:t xml:space="preserve">Progression épargne : </w:t>
      </w:r>
      <w:r>
        <w:t>Montant affecté à l’objectif / montant cible × 100.</w:t>
      </w:r>
    </w:p>
    <w:p>
      <w:r>
        <w:rPr>
          <w:b/>
        </w:rPr>
        <w:t xml:space="preserve">Taux d’épargne : </w:t>
      </w:r>
      <w:r>
        <w:t>Montant épargné / revenus pertinents × 100, si les revenus sont supérieurs à zéro.</w:t>
      </w:r>
    </w:p>
    <w:p>
      <w:r>
        <w:rPr>
          <w:b/>
        </w:rPr>
        <w:t xml:space="preserve">Consommation budget : </w:t>
      </w:r>
      <w:r>
        <w:t>Dépenses pertinentes / budget × 100.</w:t>
      </w:r>
    </w:p>
    <w:p>
      <w:r>
        <w:rPr>
          <w:b/>
        </w:rPr>
        <w:t xml:space="preserve">Patrimoine financier : </w:t>
      </w:r>
      <w:r>
        <w:t>Valeur des avoirs après conversion éventuelle dans une devise de référence, sans double comptage.</w:t>
      </w:r>
    </w:p>
    <w:p>
      <w:pPr>
        <w:pStyle w:val="Heading1"/>
      </w:pPr>
      <w:r>
        <w:t>18. Scénarios structurants</w:t>
      </w:r>
    </w:p>
    <w:p>
      <w:pPr>
        <w:pStyle w:val="ListBullet"/>
      </w:pPr>
      <w:r>
        <w:t>500 USD reçus, 100 USD épargnés : 400 USD restent disponibles avant les autres dépenses ; les 100 USD restent dans le patrimoine.</w:t>
      </w:r>
    </w:p>
    <w:p>
      <w:pPr>
        <w:pStyle w:val="ListBullet"/>
      </w:pPr>
      <w:r>
        <w:t>Budget de 100 USD couvert par 80 USD et 40 000 CDF avec un taux de 1 USD = 2 000 CDF : la partie CDF représente 20 USD.</w:t>
      </w:r>
    </w:p>
    <w:p>
      <w:pPr>
        <w:pStyle w:val="ListBullet"/>
      </w:pPr>
      <w:r>
        <w:t>10 USD disponibles et dépense de 20 USD : la validation est bloquée tant qu’une source supplémentaire de 10 USD n’est pas explicitement définie.</w:t>
      </w:r>
    </w:p>
    <w:p>
      <w:pPr>
        <w:pStyle w:val="ListBullet"/>
      </w:pPr>
      <w:r>
        <w:t>Une dépense de 30 USD peut être financée par plusieurs sources, dont la somme doit atteindre 30 USD.</w:t>
      </w:r>
    </w:p>
    <w:p>
      <w:pPr>
        <w:pStyle w:val="ListBullet"/>
      </w:pPr>
      <w:r>
        <w:t>Une créance de 100 USD remboursée de 40 USD génère automatiquement une entrée de 40 USD dans le compte choisi et laisse 60 USD de créance.</w:t>
      </w:r>
    </w:p>
    <w:p>
      <w:pPr>
        <w:pStyle w:val="ListBullet"/>
      </w:pPr>
      <w:r>
        <w:t>Un transfert de 100 USD entre deux comptes de l’utilisateur déplace les fonds sans augmenter les dépenses.</w:t>
      </w:r>
    </w:p>
    <w:p>
      <w:pPr>
        <w:pStyle w:val="Heading1"/>
      </w:pPr>
      <w:r>
        <w:t>19. Statut du document</w:t>
      </w:r>
    </w:p>
    <w:p>
      <w:r>
        <w:t>Cette version constitue la référence métier V1 de FinTrack. Les règles seront affinées lors des cas d’utilisation, de la conception du modèle de données, de la spécification API et des critères d’acceptation.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Règles métier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